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9EE8" w14:textId="355715F7" w:rsidR="001530A7" w:rsidRDefault="001530A7" w:rsidP="001530A7">
      <w:pPr>
        <w:rPr>
          <w:rFonts w:ascii="Helvetica" w:hAnsi="Helvetica" w:cs="Calibri"/>
          <w:b/>
          <w:bCs/>
          <w:color w:val="000000"/>
          <w:sz w:val="22"/>
          <w:szCs w:val="22"/>
        </w:rPr>
      </w:pPr>
      <w:r w:rsidRPr="00823AA9">
        <w:rPr>
          <w:rFonts w:ascii="Helvetica" w:hAnsi="Helvetica" w:cs="Calibri"/>
          <w:b/>
          <w:bCs/>
          <w:color w:val="000000"/>
          <w:sz w:val="22"/>
          <w:szCs w:val="22"/>
        </w:rPr>
        <w:t xml:space="preserve">Why Pathways? </w:t>
      </w:r>
    </w:p>
    <w:p w14:paraId="39841D7F" w14:textId="77777777" w:rsidR="00927D9C" w:rsidRPr="00823AA9" w:rsidRDefault="00927D9C" w:rsidP="00927D9C">
      <w:pPr>
        <w:rPr>
          <w:rFonts w:ascii="Helvetica" w:hAnsi="Helvetica" w:cstheme="minorHAnsi"/>
          <w:b/>
          <w:bCs/>
          <w:sz w:val="22"/>
          <w:szCs w:val="22"/>
        </w:rPr>
      </w:pPr>
      <w:r>
        <w:rPr>
          <w:rFonts w:ascii="Helvetica" w:hAnsi="Helvetica" w:cstheme="minorHAnsi"/>
          <w:b/>
          <w:bCs/>
          <w:sz w:val="22"/>
          <w:szCs w:val="22"/>
        </w:rPr>
        <w:t>March 2020</w:t>
      </w:r>
      <w:r w:rsidRPr="00823AA9">
        <w:rPr>
          <w:rFonts w:ascii="Helvetica" w:hAnsi="Helvetica" w:cstheme="minorHAnsi"/>
          <w:b/>
          <w:bCs/>
          <w:sz w:val="22"/>
          <w:szCs w:val="22"/>
        </w:rPr>
        <w:t xml:space="preserve"> Update </w:t>
      </w:r>
    </w:p>
    <w:p w14:paraId="4C952636" w14:textId="42323ECA" w:rsidR="001530A7" w:rsidRPr="00823AA9" w:rsidRDefault="001530A7" w:rsidP="001530A7">
      <w:pPr>
        <w:rPr>
          <w:rFonts w:ascii="Helvetica" w:hAnsi="Helvetica" w:cs="Calibri"/>
          <w:color w:val="000000"/>
          <w:sz w:val="22"/>
          <w:szCs w:val="22"/>
        </w:rPr>
      </w:pPr>
    </w:p>
    <w:p w14:paraId="10E7D03E" w14:textId="77777777" w:rsidR="001530A7" w:rsidRPr="00823AA9" w:rsidRDefault="001530A7" w:rsidP="001530A7">
      <w:pPr>
        <w:rPr>
          <w:rFonts w:ascii="Helvetica" w:hAnsi="Helvetica" w:cs="Calibri"/>
          <w:color w:val="000000"/>
          <w:sz w:val="22"/>
          <w:szCs w:val="22"/>
        </w:rPr>
      </w:pPr>
      <w:r w:rsidRPr="00823AA9">
        <w:rPr>
          <w:rFonts w:ascii="Helvetica" w:hAnsi="Helvetica" w:cs="Calibri"/>
          <w:color w:val="000000"/>
          <w:sz w:val="22"/>
          <w:szCs w:val="22"/>
        </w:rPr>
        <w:t xml:space="preserve">Since the mid-twentieth century, most community colleges have adopted “cafeteria” education models, which offer broad, complex and self-guided pathways through college. By nature of their sheer multiplicity, these complex pathways could theoretically support the goals of any given student. And yet in practice, without intentional guidance and overwhelmed by choices, students often end up “checking boxes” locally rather than working intentionally toward more global, long-term goals. Nationally, in fact, fewer than four of every ten students complete any type of degree or certificate within six years. </w:t>
      </w:r>
    </w:p>
    <w:p w14:paraId="282CA035" w14:textId="77777777" w:rsidR="001530A7" w:rsidRPr="00823AA9" w:rsidRDefault="001530A7" w:rsidP="001530A7">
      <w:pPr>
        <w:rPr>
          <w:rFonts w:ascii="Helvetica" w:hAnsi="Helvetica" w:cs="Calibri"/>
          <w:color w:val="000000"/>
          <w:sz w:val="22"/>
          <w:szCs w:val="22"/>
        </w:rPr>
      </w:pPr>
    </w:p>
    <w:p w14:paraId="530AE83F" w14:textId="0CEBE5EE" w:rsidR="001530A7" w:rsidRPr="00823AA9" w:rsidRDefault="001530A7" w:rsidP="001530A7">
      <w:pPr>
        <w:rPr>
          <w:rFonts w:ascii="Helvetica" w:hAnsi="Helvetica" w:cs="Calibri"/>
          <w:color w:val="000000"/>
          <w:sz w:val="22"/>
          <w:szCs w:val="22"/>
        </w:rPr>
      </w:pPr>
      <w:r w:rsidRPr="00823AA9">
        <w:rPr>
          <w:rFonts w:ascii="Helvetica" w:hAnsi="Helvetica" w:cs="Calibri"/>
          <w:color w:val="000000"/>
          <w:sz w:val="22"/>
          <w:szCs w:val="22"/>
        </w:rPr>
        <w:t xml:space="preserve">Guided Pathways at SLCC aims to clearly tie </w:t>
      </w:r>
      <w:r w:rsidRPr="00823AA9">
        <w:rPr>
          <w:rFonts w:ascii="Helvetica" w:hAnsi="Helvetica" w:cs="Calibri"/>
          <w:i/>
          <w:iCs/>
          <w:color w:val="000000"/>
          <w:sz w:val="22"/>
          <w:szCs w:val="22"/>
        </w:rPr>
        <w:t xml:space="preserve">course </w:t>
      </w:r>
      <w:r w:rsidRPr="00823AA9">
        <w:rPr>
          <w:rFonts w:ascii="Helvetica" w:hAnsi="Helvetica" w:cs="Calibri"/>
          <w:color w:val="000000"/>
          <w:sz w:val="22"/>
          <w:szCs w:val="22"/>
        </w:rPr>
        <w:t xml:space="preserve">learning outcomes to </w:t>
      </w:r>
      <w:r w:rsidRPr="00823AA9">
        <w:rPr>
          <w:rFonts w:ascii="Helvetica" w:hAnsi="Helvetica" w:cs="Calibri"/>
          <w:i/>
          <w:iCs/>
          <w:color w:val="000000"/>
          <w:sz w:val="22"/>
          <w:szCs w:val="22"/>
        </w:rPr>
        <w:t xml:space="preserve">program </w:t>
      </w:r>
      <w:r w:rsidRPr="00823AA9">
        <w:rPr>
          <w:rFonts w:ascii="Helvetica" w:hAnsi="Helvetica" w:cs="Calibri"/>
          <w:color w:val="000000"/>
          <w:sz w:val="22"/>
          <w:szCs w:val="22"/>
        </w:rPr>
        <w:t>learning outcomes—meaningful employment or seamless transfer—and to shift the student decision-making process from local, short-term thinking to global, long-term-oriented reflection. Because our student body is the most diverse in</w:t>
      </w:r>
      <w:r w:rsidR="00E2050F">
        <w:rPr>
          <w:rFonts w:ascii="Helvetica" w:hAnsi="Helvetica" w:cs="Calibri"/>
          <w:color w:val="000000"/>
          <w:sz w:val="22"/>
          <w:szCs w:val="22"/>
        </w:rPr>
        <w:t xml:space="preserve"> all of</w:t>
      </w:r>
      <w:r w:rsidRPr="00823AA9">
        <w:rPr>
          <w:rFonts w:ascii="Helvetica" w:hAnsi="Helvetica" w:cs="Calibri"/>
          <w:color w:val="000000"/>
          <w:sz w:val="22"/>
          <w:szCs w:val="22"/>
        </w:rPr>
        <w:t xml:space="preserve"> Utah, this shift requires proactive, engaged support from a system of faculty, advisors and staff who honor our students’ unique range of life circumstances. </w:t>
      </w:r>
    </w:p>
    <w:p w14:paraId="3ABEA7E0" w14:textId="77777777" w:rsidR="006527FF" w:rsidRDefault="006527FF" w:rsidP="001530A7">
      <w:pPr>
        <w:rPr>
          <w:rFonts w:ascii="Helvetica" w:hAnsi="Helvetica" w:cs="Calibri"/>
          <w:color w:val="000000"/>
          <w:sz w:val="22"/>
          <w:szCs w:val="22"/>
        </w:rPr>
      </w:pPr>
    </w:p>
    <w:p w14:paraId="11EAAADB" w14:textId="29722F41" w:rsidR="006527FF" w:rsidRDefault="000E4837" w:rsidP="001530A7">
      <w:pPr>
        <w:rPr>
          <w:rFonts w:ascii="Helvetica" w:hAnsi="Helvetica" w:cstheme="minorHAnsi"/>
          <w:sz w:val="22"/>
          <w:szCs w:val="22"/>
        </w:rPr>
      </w:pPr>
      <w:r>
        <w:rPr>
          <w:rFonts w:ascii="Helvetica" w:hAnsi="Helvetica" w:cstheme="minorHAnsi"/>
          <w:sz w:val="22"/>
          <w:szCs w:val="22"/>
        </w:rPr>
        <w:t xml:space="preserve">As </w:t>
      </w:r>
      <w:r w:rsidR="001530A7" w:rsidRPr="00823AA9">
        <w:rPr>
          <w:rFonts w:ascii="Helvetica" w:hAnsi="Helvetica" w:cstheme="minorHAnsi"/>
          <w:sz w:val="22"/>
          <w:szCs w:val="22"/>
        </w:rPr>
        <w:t xml:space="preserve">the college’s most comprehensive </w:t>
      </w:r>
      <w:r w:rsidR="006F2E00">
        <w:rPr>
          <w:rFonts w:ascii="Helvetica" w:hAnsi="Helvetica" w:cstheme="minorHAnsi"/>
          <w:sz w:val="22"/>
          <w:szCs w:val="22"/>
        </w:rPr>
        <w:t xml:space="preserve">completion </w:t>
      </w:r>
      <w:r w:rsidR="001530A7" w:rsidRPr="00823AA9">
        <w:rPr>
          <w:rFonts w:ascii="Helvetica" w:hAnsi="Helvetica" w:cstheme="minorHAnsi"/>
          <w:sz w:val="22"/>
          <w:szCs w:val="22"/>
        </w:rPr>
        <w:t>effort to date</w:t>
      </w:r>
      <w:r w:rsidR="006F2E00">
        <w:rPr>
          <w:rFonts w:ascii="Helvetica" w:hAnsi="Helvetica" w:cstheme="minorHAnsi"/>
          <w:sz w:val="22"/>
          <w:szCs w:val="22"/>
        </w:rPr>
        <w:t>, we began the</w:t>
      </w:r>
      <w:r w:rsidR="001530A7" w:rsidRPr="00823AA9">
        <w:rPr>
          <w:rFonts w:ascii="Helvetica" w:hAnsi="Helvetica" w:cstheme="minorHAnsi"/>
          <w:sz w:val="22"/>
          <w:szCs w:val="22"/>
        </w:rPr>
        <w:t xml:space="preserve"> planning and implement</w:t>
      </w:r>
      <w:r w:rsidR="006F2E00">
        <w:rPr>
          <w:rFonts w:ascii="Helvetica" w:hAnsi="Helvetica" w:cstheme="minorHAnsi"/>
          <w:sz w:val="22"/>
          <w:szCs w:val="22"/>
        </w:rPr>
        <w:t>ation of</w:t>
      </w:r>
      <w:r w:rsidR="001530A7" w:rsidRPr="00823AA9">
        <w:rPr>
          <w:rFonts w:ascii="Helvetica" w:hAnsi="Helvetica" w:cstheme="minorHAnsi"/>
          <w:sz w:val="22"/>
          <w:szCs w:val="22"/>
        </w:rPr>
        <w:t xml:space="preserve"> the SLCC Pathways initiative in 2016 to guide student choice, enhance learning, and help clarify a student’s route to program completion</w:t>
      </w:r>
      <w:r w:rsidR="006F2E00">
        <w:rPr>
          <w:rFonts w:ascii="Helvetica" w:hAnsi="Helvetica" w:cstheme="minorHAnsi"/>
          <w:sz w:val="22"/>
          <w:szCs w:val="22"/>
        </w:rPr>
        <w:t xml:space="preserve">. The effort </w:t>
      </w:r>
      <w:r w:rsidR="006F2E00">
        <w:rPr>
          <w:rFonts w:ascii="Helvetica" w:hAnsi="Helvetica" w:cs="Calibri"/>
          <w:color w:val="000000"/>
          <w:sz w:val="22"/>
          <w:szCs w:val="22"/>
        </w:rPr>
        <w:t xml:space="preserve">also </w:t>
      </w:r>
      <w:r w:rsidR="006527FF" w:rsidRPr="00823AA9">
        <w:rPr>
          <w:rFonts w:ascii="Helvetica" w:hAnsi="Helvetica" w:cs="Calibri"/>
          <w:color w:val="000000"/>
          <w:sz w:val="22"/>
          <w:szCs w:val="22"/>
        </w:rPr>
        <w:t>ensure</w:t>
      </w:r>
      <w:r w:rsidR="006F2E00">
        <w:rPr>
          <w:rFonts w:ascii="Helvetica" w:hAnsi="Helvetica" w:cs="Calibri"/>
          <w:color w:val="000000"/>
          <w:sz w:val="22"/>
          <w:szCs w:val="22"/>
        </w:rPr>
        <w:t>s</w:t>
      </w:r>
      <w:r w:rsidR="006527FF" w:rsidRPr="00823AA9">
        <w:rPr>
          <w:rFonts w:ascii="Helvetica" w:hAnsi="Helvetica" w:cs="Calibri"/>
          <w:color w:val="000000"/>
          <w:sz w:val="22"/>
          <w:szCs w:val="22"/>
        </w:rPr>
        <w:t xml:space="preserve"> that all students, no matter their income or social capital, receive proactive guidance to achieve their goals at equitable rates</w:t>
      </w:r>
      <w:r w:rsidR="001530A7" w:rsidRPr="00823AA9">
        <w:rPr>
          <w:rFonts w:ascii="Helvetica" w:hAnsi="Helvetica" w:cstheme="minorHAnsi"/>
          <w:sz w:val="22"/>
          <w:szCs w:val="22"/>
        </w:rPr>
        <w:t xml:space="preserve">. </w:t>
      </w:r>
    </w:p>
    <w:p w14:paraId="670DA84A" w14:textId="77777777" w:rsidR="006527FF" w:rsidRDefault="006527FF" w:rsidP="001530A7">
      <w:pPr>
        <w:rPr>
          <w:rFonts w:ascii="Helvetica" w:hAnsi="Helvetica" w:cstheme="minorHAnsi"/>
          <w:sz w:val="22"/>
          <w:szCs w:val="22"/>
        </w:rPr>
      </w:pPr>
    </w:p>
    <w:p w14:paraId="27710555" w14:textId="72A9617B" w:rsidR="001530A7" w:rsidRPr="00823AA9" w:rsidRDefault="00927D9C" w:rsidP="001530A7">
      <w:pPr>
        <w:rPr>
          <w:rFonts w:ascii="Helvetica" w:hAnsi="Helvetica" w:cstheme="minorHAnsi"/>
          <w:sz w:val="22"/>
          <w:szCs w:val="22"/>
        </w:rPr>
      </w:pPr>
      <w:r>
        <w:rPr>
          <w:rFonts w:ascii="Helvetica" w:hAnsi="Helvetica" w:cstheme="minorHAnsi"/>
          <w:sz w:val="22"/>
          <w:szCs w:val="22"/>
        </w:rPr>
        <w:t>T</w:t>
      </w:r>
      <w:r w:rsidR="001530A7" w:rsidRPr="00823AA9">
        <w:rPr>
          <w:rFonts w:ascii="Helvetica" w:hAnsi="Helvetica" w:cstheme="minorHAnsi"/>
          <w:sz w:val="22"/>
          <w:szCs w:val="22"/>
        </w:rPr>
        <w:t>here are two grounding tenets of the work: 1</w:t>
      </w:r>
      <w:r w:rsidR="00367936">
        <w:rPr>
          <w:rFonts w:ascii="Helvetica" w:hAnsi="Helvetica" w:cstheme="minorHAnsi"/>
          <w:sz w:val="22"/>
          <w:szCs w:val="22"/>
        </w:rPr>
        <w:t>)</w:t>
      </w:r>
      <w:r w:rsidR="001530A7" w:rsidRPr="00823AA9">
        <w:rPr>
          <w:rFonts w:ascii="Helvetica" w:hAnsi="Helvetica" w:cstheme="minorHAnsi"/>
          <w:sz w:val="22"/>
          <w:szCs w:val="22"/>
        </w:rPr>
        <w:t xml:space="preserve"> Guiding student choice</w:t>
      </w:r>
      <w:r w:rsidR="00367936">
        <w:rPr>
          <w:rFonts w:ascii="Helvetica" w:hAnsi="Helvetica" w:cstheme="minorHAnsi"/>
          <w:sz w:val="22"/>
          <w:szCs w:val="22"/>
        </w:rPr>
        <w:t xml:space="preserve"> and 2) Enhancing learning</w:t>
      </w:r>
      <w:r w:rsidR="001530A7" w:rsidRPr="00823AA9">
        <w:rPr>
          <w:rFonts w:ascii="Helvetica" w:hAnsi="Helvetica" w:cstheme="minorHAnsi"/>
          <w:sz w:val="22"/>
          <w:szCs w:val="22"/>
        </w:rPr>
        <w:t>. (</w:t>
      </w:r>
      <w:hyperlink r:id="rId7" w:history="1">
        <w:r w:rsidR="001530A7" w:rsidRPr="00823AA9">
          <w:rPr>
            <w:rStyle w:val="Hyperlink"/>
            <w:rFonts w:ascii="Helvetica" w:hAnsi="Helvetica" w:cstheme="minorHAnsi"/>
            <w:sz w:val="22"/>
            <w:szCs w:val="22"/>
          </w:rPr>
          <w:t>https://i.slcc.edu/plan/pathways.aspx</w:t>
        </w:r>
      </w:hyperlink>
      <w:r w:rsidR="001530A7" w:rsidRPr="00823AA9">
        <w:rPr>
          <w:rFonts w:ascii="Helvetica" w:hAnsi="Helvetica" w:cstheme="minorHAnsi"/>
          <w:sz w:val="22"/>
          <w:szCs w:val="22"/>
        </w:rPr>
        <w:t>)</w:t>
      </w:r>
    </w:p>
    <w:p w14:paraId="35E64973" w14:textId="77777777" w:rsidR="001530A7" w:rsidRPr="00823AA9" w:rsidRDefault="001530A7" w:rsidP="001530A7">
      <w:pPr>
        <w:rPr>
          <w:rFonts w:ascii="Helvetica" w:hAnsi="Helvetica" w:cstheme="minorHAnsi"/>
          <w:sz w:val="22"/>
          <w:szCs w:val="22"/>
        </w:rPr>
      </w:pPr>
    </w:p>
    <w:p w14:paraId="5E9C83C3" w14:textId="4890B2E0" w:rsidR="001530A7" w:rsidRPr="00823AA9" w:rsidRDefault="001530A7" w:rsidP="001530A7">
      <w:pPr>
        <w:rPr>
          <w:rFonts w:ascii="Helvetica" w:hAnsi="Helvetica" w:cstheme="minorHAnsi"/>
          <w:bCs/>
          <w:i/>
          <w:iCs/>
          <w:color w:val="000000" w:themeColor="text1"/>
          <w:sz w:val="22"/>
          <w:szCs w:val="22"/>
        </w:rPr>
      </w:pPr>
      <w:r w:rsidRPr="00823AA9">
        <w:rPr>
          <w:rFonts w:ascii="Helvetica" w:hAnsi="Helvetica" w:cstheme="minorHAnsi"/>
          <w:sz w:val="22"/>
          <w:szCs w:val="22"/>
        </w:rPr>
        <w:t xml:space="preserve">Throughout 2019, there </w:t>
      </w:r>
      <w:r w:rsidR="00927D9C">
        <w:rPr>
          <w:rFonts w:ascii="Helvetica" w:hAnsi="Helvetica" w:cstheme="minorHAnsi"/>
          <w:sz w:val="22"/>
          <w:szCs w:val="22"/>
        </w:rPr>
        <w:t>w</w:t>
      </w:r>
      <w:r w:rsidRPr="00823AA9">
        <w:rPr>
          <w:rFonts w:ascii="Helvetica" w:hAnsi="Helvetica" w:cstheme="minorHAnsi"/>
          <w:sz w:val="22"/>
          <w:szCs w:val="22"/>
        </w:rPr>
        <w:t>as noteworthy implementation progress and several key components of the initiative are now operational. Organized under the two tenets</w:t>
      </w:r>
      <w:r>
        <w:rPr>
          <w:rFonts w:ascii="Helvetica" w:hAnsi="Helvetica" w:cstheme="minorHAnsi"/>
          <w:sz w:val="22"/>
          <w:szCs w:val="22"/>
        </w:rPr>
        <w:t>—</w:t>
      </w:r>
      <w:r w:rsidRPr="00823AA9">
        <w:rPr>
          <w:rFonts w:ascii="Helvetica" w:hAnsi="Helvetica" w:cstheme="minorHAnsi"/>
          <w:sz w:val="22"/>
          <w:szCs w:val="22"/>
        </w:rPr>
        <w:t>guiding student choice</w:t>
      </w:r>
      <w:r w:rsidR="00927D9C">
        <w:rPr>
          <w:rFonts w:ascii="Helvetica" w:hAnsi="Helvetica" w:cstheme="minorHAnsi"/>
          <w:sz w:val="22"/>
          <w:szCs w:val="22"/>
        </w:rPr>
        <w:t xml:space="preserve"> and enhancing learning</w:t>
      </w:r>
      <w:r>
        <w:rPr>
          <w:rFonts w:ascii="Helvetica" w:hAnsi="Helvetica" w:cstheme="minorHAnsi"/>
          <w:sz w:val="22"/>
          <w:szCs w:val="22"/>
        </w:rPr>
        <w:t>—</w:t>
      </w:r>
      <w:r w:rsidRPr="00823AA9">
        <w:rPr>
          <w:rFonts w:ascii="Helvetica" w:hAnsi="Helvetica" w:cstheme="minorHAnsi"/>
          <w:sz w:val="22"/>
          <w:szCs w:val="22"/>
        </w:rPr>
        <w:t xml:space="preserve">these key components are further outlined below. </w:t>
      </w:r>
    </w:p>
    <w:p w14:paraId="3577B884" w14:textId="77777777" w:rsidR="001530A7" w:rsidRPr="00823AA9" w:rsidRDefault="001530A7" w:rsidP="001530A7">
      <w:pPr>
        <w:rPr>
          <w:rFonts w:ascii="Helvetica" w:hAnsi="Helvetica" w:cs="Calibri"/>
          <w:sz w:val="22"/>
          <w:szCs w:val="22"/>
        </w:rPr>
      </w:pPr>
    </w:p>
    <w:p w14:paraId="725622D7" w14:textId="414343DF" w:rsidR="001530A7" w:rsidRDefault="00927D9C" w:rsidP="001530A7">
      <w:pPr>
        <w:rPr>
          <w:rFonts w:ascii="Helvetica" w:hAnsi="Helvetica" w:cstheme="minorHAnsi"/>
          <w:b/>
          <w:bCs/>
          <w:sz w:val="22"/>
          <w:szCs w:val="22"/>
        </w:rPr>
      </w:pPr>
      <w:r>
        <w:rPr>
          <w:rFonts w:ascii="Helvetica" w:hAnsi="Helvetica" w:cstheme="minorHAnsi"/>
          <w:b/>
          <w:bCs/>
          <w:sz w:val="22"/>
          <w:szCs w:val="22"/>
        </w:rPr>
        <w:t xml:space="preserve">Guiding Student Choice </w:t>
      </w:r>
    </w:p>
    <w:p w14:paraId="4C8F94A8" w14:textId="77777777" w:rsidR="00927D9C" w:rsidRPr="00823AA9" w:rsidRDefault="00927D9C" w:rsidP="001530A7">
      <w:pPr>
        <w:rPr>
          <w:rFonts w:ascii="Helvetica" w:hAnsi="Helvetica" w:cs="Calibri"/>
          <w:sz w:val="22"/>
          <w:szCs w:val="22"/>
        </w:rPr>
      </w:pPr>
    </w:p>
    <w:p w14:paraId="6D838425" w14:textId="3F3AFCD0" w:rsidR="001530A7" w:rsidRDefault="001530A7" w:rsidP="001530A7">
      <w:pPr>
        <w:rPr>
          <w:rFonts w:ascii="Helvetica" w:hAnsi="Helvetica" w:cstheme="minorHAnsi"/>
          <w:sz w:val="22"/>
          <w:szCs w:val="22"/>
        </w:rPr>
      </w:pPr>
      <w:r w:rsidRPr="00823AA9">
        <w:rPr>
          <w:rFonts w:ascii="Helvetica" w:hAnsi="Helvetica" w:cstheme="minorHAnsi"/>
          <w:sz w:val="22"/>
          <w:szCs w:val="22"/>
        </w:rPr>
        <w:t>SLCC Pathways has relied on research-based design principles to re-engineer the student intake, advising and support experience (guiding student choice), and develop eight new Areas of Study with first-year course sequences that lead to associate’s degrees in each area (enhancing learning)</w:t>
      </w:r>
      <w:r>
        <w:rPr>
          <w:rFonts w:ascii="Helvetica" w:hAnsi="Helvetica" w:cstheme="minorHAnsi"/>
          <w:sz w:val="22"/>
          <w:szCs w:val="22"/>
        </w:rPr>
        <w:t>.</w:t>
      </w:r>
      <w:r w:rsidRPr="00823AA9">
        <w:rPr>
          <w:rFonts w:ascii="Helvetica" w:hAnsi="Helvetica" w:cstheme="minorHAnsi"/>
          <w:sz w:val="22"/>
          <w:szCs w:val="22"/>
        </w:rPr>
        <w:t xml:space="preserve"> Instructors and faculty in these Areas of Study will integrate high-impact practices to engage students and support the overall goals of Pathways. Research-based messaging strategies and proactive advising models further guide student choice.  </w:t>
      </w:r>
    </w:p>
    <w:p w14:paraId="5501997E" w14:textId="396A6020" w:rsidR="006527FF" w:rsidRDefault="006527FF" w:rsidP="001530A7">
      <w:pPr>
        <w:rPr>
          <w:rFonts w:ascii="Helvetica" w:hAnsi="Helvetica" w:cstheme="minorHAnsi"/>
          <w:sz w:val="22"/>
          <w:szCs w:val="22"/>
        </w:rPr>
      </w:pPr>
    </w:p>
    <w:p w14:paraId="40F66DF0" w14:textId="36645953" w:rsidR="006527FF" w:rsidRDefault="006527FF" w:rsidP="006527FF">
      <w:pPr>
        <w:jc w:val="center"/>
        <w:rPr>
          <w:rFonts w:ascii="Helvetica" w:hAnsi="Helvetica" w:cstheme="minorHAnsi"/>
          <w:b/>
          <w:bCs/>
          <w:sz w:val="20"/>
          <w:szCs w:val="20"/>
        </w:rPr>
      </w:pPr>
      <w:r w:rsidRPr="006527FF">
        <w:rPr>
          <w:rFonts w:ascii="Helvetica" w:hAnsi="Helvetica" w:cstheme="minorHAnsi"/>
          <w:b/>
          <w:bCs/>
          <w:sz w:val="20"/>
          <w:szCs w:val="20"/>
        </w:rPr>
        <w:t>Areas of Study</w:t>
      </w:r>
    </w:p>
    <w:p w14:paraId="42C394BA" w14:textId="77777777" w:rsidR="00065BAC" w:rsidRPr="006527FF" w:rsidRDefault="00065BAC" w:rsidP="006527FF">
      <w:pPr>
        <w:jc w:val="center"/>
        <w:rPr>
          <w:rFonts w:ascii="Helvetica" w:hAnsi="Helvetica" w:cstheme="minorHAnsi"/>
          <w:b/>
          <w:bCs/>
          <w:color w:val="000000"/>
          <w:sz w:val="20"/>
          <w:szCs w:val="20"/>
        </w:rPr>
      </w:pPr>
    </w:p>
    <w:tbl>
      <w:tblPr>
        <w:tblStyle w:val="TableGrid"/>
        <w:tblW w:w="0" w:type="auto"/>
        <w:tblLook w:val="04A0" w:firstRow="1" w:lastRow="0" w:firstColumn="1" w:lastColumn="0" w:noHBand="0" w:noVBand="1"/>
      </w:tblPr>
      <w:tblGrid>
        <w:gridCol w:w="4675"/>
        <w:gridCol w:w="4675"/>
      </w:tblGrid>
      <w:tr w:rsidR="00065BAC" w14:paraId="2348DDD6" w14:textId="77777777" w:rsidTr="00065BAC">
        <w:tc>
          <w:tcPr>
            <w:tcW w:w="4675" w:type="dxa"/>
          </w:tcPr>
          <w:p w14:paraId="065205E2" w14:textId="373CC1B3" w:rsidR="00065BAC" w:rsidRDefault="00065BAC" w:rsidP="001530A7">
            <w:pPr>
              <w:rPr>
                <w:rFonts w:ascii="Helvetica" w:hAnsi="Helvetica" w:cs="Calibri"/>
                <w:i/>
                <w:iCs/>
              </w:rPr>
            </w:pPr>
            <w:r>
              <w:rPr>
                <w:rFonts w:ascii="Helvetica" w:hAnsi="Helvetica" w:cs="Calibri"/>
                <w:i/>
                <w:iCs/>
              </w:rPr>
              <w:t>Arts, Communication and Digital Media</w:t>
            </w:r>
          </w:p>
        </w:tc>
        <w:tc>
          <w:tcPr>
            <w:tcW w:w="4675" w:type="dxa"/>
          </w:tcPr>
          <w:p w14:paraId="13B86008" w14:textId="23C547AD" w:rsidR="00065BAC" w:rsidRDefault="00065BAC" w:rsidP="001530A7">
            <w:pPr>
              <w:rPr>
                <w:rFonts w:ascii="Helvetica" w:hAnsi="Helvetica" w:cs="Calibri"/>
                <w:i/>
                <w:iCs/>
              </w:rPr>
            </w:pPr>
            <w:r>
              <w:rPr>
                <w:rFonts w:ascii="Helvetica" w:hAnsi="Helvetica" w:cs="Calibri"/>
                <w:i/>
                <w:iCs/>
              </w:rPr>
              <w:t>Health Sciences</w:t>
            </w:r>
          </w:p>
        </w:tc>
      </w:tr>
      <w:tr w:rsidR="00065BAC" w14:paraId="04A9BAFC" w14:textId="77777777" w:rsidTr="00065BAC">
        <w:tc>
          <w:tcPr>
            <w:tcW w:w="4675" w:type="dxa"/>
          </w:tcPr>
          <w:p w14:paraId="3D7326CB" w14:textId="6400753D" w:rsidR="00065BAC" w:rsidRDefault="00065BAC" w:rsidP="001530A7">
            <w:pPr>
              <w:rPr>
                <w:rFonts w:ascii="Helvetica" w:hAnsi="Helvetica" w:cs="Calibri"/>
                <w:i/>
                <w:iCs/>
              </w:rPr>
            </w:pPr>
            <w:r>
              <w:rPr>
                <w:rFonts w:ascii="Helvetica" w:hAnsi="Helvetica" w:cs="Calibri"/>
                <w:i/>
                <w:iCs/>
              </w:rPr>
              <w:t>Business</w:t>
            </w:r>
          </w:p>
        </w:tc>
        <w:tc>
          <w:tcPr>
            <w:tcW w:w="4675" w:type="dxa"/>
          </w:tcPr>
          <w:p w14:paraId="05A4219A" w14:textId="3FE41780" w:rsidR="00065BAC" w:rsidRDefault="00065BAC" w:rsidP="001530A7">
            <w:pPr>
              <w:rPr>
                <w:rFonts w:ascii="Helvetica" w:hAnsi="Helvetica" w:cs="Calibri"/>
                <w:i/>
                <w:iCs/>
              </w:rPr>
            </w:pPr>
            <w:r>
              <w:rPr>
                <w:rFonts w:ascii="Helvetica" w:hAnsi="Helvetica" w:cs="Calibri"/>
                <w:i/>
                <w:iCs/>
              </w:rPr>
              <w:t>Humanities</w:t>
            </w:r>
          </w:p>
        </w:tc>
      </w:tr>
      <w:tr w:rsidR="00065BAC" w14:paraId="6466F83C" w14:textId="77777777" w:rsidTr="00065BAC">
        <w:tc>
          <w:tcPr>
            <w:tcW w:w="4675" w:type="dxa"/>
          </w:tcPr>
          <w:p w14:paraId="7E770533" w14:textId="75BB0B11" w:rsidR="00065BAC" w:rsidRDefault="00065BAC" w:rsidP="001530A7">
            <w:pPr>
              <w:rPr>
                <w:rFonts w:ascii="Helvetica" w:hAnsi="Helvetica" w:cs="Calibri"/>
                <w:i/>
                <w:iCs/>
              </w:rPr>
            </w:pPr>
            <w:r>
              <w:rPr>
                <w:rFonts w:ascii="Helvetica" w:hAnsi="Helvetica" w:cs="Calibri"/>
                <w:i/>
                <w:iCs/>
              </w:rPr>
              <w:t>Computer Science and Information Technology</w:t>
            </w:r>
          </w:p>
        </w:tc>
        <w:tc>
          <w:tcPr>
            <w:tcW w:w="4675" w:type="dxa"/>
          </w:tcPr>
          <w:p w14:paraId="370F6373" w14:textId="28AFC67C" w:rsidR="00065BAC" w:rsidRDefault="00065BAC" w:rsidP="001530A7">
            <w:pPr>
              <w:rPr>
                <w:rFonts w:ascii="Helvetica" w:hAnsi="Helvetica" w:cs="Calibri"/>
                <w:i/>
                <w:iCs/>
              </w:rPr>
            </w:pPr>
            <w:r>
              <w:rPr>
                <w:rFonts w:ascii="Helvetica" w:hAnsi="Helvetica" w:cs="Calibri"/>
                <w:i/>
                <w:iCs/>
              </w:rPr>
              <w:t xml:space="preserve">Science, Engineering and Mathematics </w:t>
            </w:r>
          </w:p>
        </w:tc>
      </w:tr>
      <w:tr w:rsidR="00065BAC" w14:paraId="1B30B389" w14:textId="77777777" w:rsidTr="00065BAC">
        <w:tc>
          <w:tcPr>
            <w:tcW w:w="4675" w:type="dxa"/>
          </w:tcPr>
          <w:p w14:paraId="5D4DFE3F" w14:textId="24AD739B" w:rsidR="00065BAC" w:rsidRDefault="00065BAC" w:rsidP="001530A7">
            <w:pPr>
              <w:rPr>
                <w:rFonts w:ascii="Helvetica" w:hAnsi="Helvetica" w:cs="Calibri"/>
                <w:i/>
                <w:iCs/>
              </w:rPr>
            </w:pPr>
            <w:r>
              <w:rPr>
                <w:rFonts w:ascii="Helvetica" w:hAnsi="Helvetica" w:cs="Calibri"/>
                <w:i/>
                <w:iCs/>
              </w:rPr>
              <w:t>Construction, Manufacturing and Applied Technologies</w:t>
            </w:r>
          </w:p>
        </w:tc>
        <w:tc>
          <w:tcPr>
            <w:tcW w:w="4675" w:type="dxa"/>
          </w:tcPr>
          <w:p w14:paraId="141F98AC" w14:textId="55F240CF" w:rsidR="00065BAC" w:rsidRDefault="00065BAC" w:rsidP="001530A7">
            <w:pPr>
              <w:rPr>
                <w:rFonts w:ascii="Helvetica" w:hAnsi="Helvetica" w:cs="Calibri"/>
                <w:i/>
                <w:iCs/>
              </w:rPr>
            </w:pPr>
            <w:r>
              <w:rPr>
                <w:rFonts w:ascii="Helvetica" w:hAnsi="Helvetica" w:cs="Calibri"/>
                <w:i/>
                <w:iCs/>
              </w:rPr>
              <w:t xml:space="preserve">Social &amp; </w:t>
            </w:r>
            <w:proofErr w:type="spellStart"/>
            <w:r>
              <w:rPr>
                <w:rFonts w:ascii="Helvetica" w:hAnsi="Helvetica" w:cs="Calibri"/>
                <w:i/>
                <w:iCs/>
              </w:rPr>
              <w:t>Behavorial</w:t>
            </w:r>
            <w:proofErr w:type="spellEnd"/>
            <w:r>
              <w:rPr>
                <w:rFonts w:ascii="Helvetica" w:hAnsi="Helvetica" w:cs="Calibri"/>
                <w:i/>
                <w:iCs/>
              </w:rPr>
              <w:t xml:space="preserve"> Sciences, Education and Human Services </w:t>
            </w:r>
          </w:p>
        </w:tc>
      </w:tr>
    </w:tbl>
    <w:p w14:paraId="1CBCD4E6" w14:textId="036905AE" w:rsidR="001530A7" w:rsidRDefault="001530A7" w:rsidP="001530A7">
      <w:pPr>
        <w:rPr>
          <w:rFonts w:ascii="Helvetica" w:hAnsi="Helvetica" w:cs="Calibri"/>
          <w:i/>
          <w:iCs/>
          <w:sz w:val="22"/>
          <w:szCs w:val="22"/>
        </w:rPr>
      </w:pPr>
    </w:p>
    <w:p w14:paraId="6F0BA459" w14:textId="2CACD6C1" w:rsidR="006527FF" w:rsidRDefault="006527FF" w:rsidP="001530A7">
      <w:pPr>
        <w:rPr>
          <w:rFonts w:ascii="Helvetica" w:hAnsi="Helvetica" w:cs="Calibri"/>
          <w:i/>
          <w:iCs/>
          <w:sz w:val="22"/>
          <w:szCs w:val="22"/>
        </w:rPr>
      </w:pPr>
    </w:p>
    <w:p w14:paraId="7DB77DA8" w14:textId="035C842E" w:rsidR="006527FF" w:rsidRDefault="006527FF" w:rsidP="001530A7">
      <w:pPr>
        <w:rPr>
          <w:rFonts w:ascii="Helvetica" w:hAnsi="Helvetica" w:cs="Calibri"/>
          <w:i/>
          <w:iCs/>
          <w:sz w:val="22"/>
          <w:szCs w:val="22"/>
        </w:rPr>
      </w:pPr>
    </w:p>
    <w:p w14:paraId="0F478CCA" w14:textId="46F0DE13" w:rsidR="006527FF" w:rsidRDefault="006527FF" w:rsidP="001530A7">
      <w:pPr>
        <w:rPr>
          <w:rFonts w:ascii="Helvetica" w:hAnsi="Helvetica" w:cs="Calibri"/>
          <w:i/>
          <w:iCs/>
          <w:sz w:val="22"/>
          <w:szCs w:val="22"/>
        </w:rPr>
      </w:pPr>
    </w:p>
    <w:p w14:paraId="21845DB0" w14:textId="77777777" w:rsidR="006527FF" w:rsidRPr="00823AA9" w:rsidRDefault="006527FF" w:rsidP="001530A7">
      <w:pPr>
        <w:rPr>
          <w:rFonts w:ascii="Helvetica" w:hAnsi="Helvetica" w:cs="Calibri"/>
          <w:i/>
          <w:iCs/>
          <w:sz w:val="22"/>
          <w:szCs w:val="22"/>
        </w:rPr>
      </w:pPr>
    </w:p>
    <w:p w14:paraId="02AC7D1B" w14:textId="1669F584" w:rsidR="00367936" w:rsidRPr="00AC2092" w:rsidRDefault="00367936" w:rsidP="006527FF">
      <w:pPr>
        <w:jc w:val="center"/>
        <w:rPr>
          <w:rFonts w:ascii="Roboto" w:hAnsi="Roboto"/>
          <w:b/>
          <w:bCs/>
          <w:sz w:val="20"/>
          <w:szCs w:val="20"/>
        </w:rPr>
      </w:pPr>
      <w:r w:rsidRPr="00AC2092">
        <w:rPr>
          <w:rFonts w:ascii="Roboto" w:hAnsi="Roboto"/>
          <w:b/>
          <w:bCs/>
          <w:sz w:val="20"/>
          <w:szCs w:val="20"/>
        </w:rPr>
        <w:t>Guiding Students</w:t>
      </w:r>
    </w:p>
    <w:p w14:paraId="2E4818B3" w14:textId="6AED6B0B" w:rsidR="00367936" w:rsidRPr="006527FF" w:rsidRDefault="00367936" w:rsidP="006527FF">
      <w:pPr>
        <w:jc w:val="center"/>
        <w:rPr>
          <w:rFonts w:ascii="Roboto" w:hAnsi="Roboto"/>
          <w:b/>
          <w:bCs/>
          <w:i/>
          <w:iCs/>
          <w:sz w:val="20"/>
          <w:szCs w:val="20"/>
        </w:rPr>
      </w:pPr>
      <w:r w:rsidRPr="006527FF">
        <w:rPr>
          <w:rFonts w:ascii="Roboto" w:hAnsi="Roboto"/>
          <w:b/>
          <w:bCs/>
          <w:i/>
          <w:iCs/>
          <w:sz w:val="20"/>
          <w:szCs w:val="20"/>
        </w:rPr>
        <w:t>Student Intake</w:t>
      </w:r>
    </w:p>
    <w:p w14:paraId="313086EC" w14:textId="77777777" w:rsidR="006527FF" w:rsidRDefault="006527FF" w:rsidP="006527FF">
      <w:pPr>
        <w:jc w:val="center"/>
        <w:rPr>
          <w:rFonts w:ascii="Roboto" w:hAnsi="Roboto"/>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3955"/>
      </w:tblGrid>
      <w:tr w:rsidR="00367936" w14:paraId="12AB5B27" w14:textId="77777777" w:rsidTr="00C87835">
        <w:tc>
          <w:tcPr>
            <w:tcW w:w="5395" w:type="dxa"/>
            <w:tcBorders>
              <w:top w:val="single" w:sz="4" w:space="0" w:color="auto"/>
              <w:bottom w:val="single" w:sz="4" w:space="0" w:color="auto"/>
            </w:tcBorders>
          </w:tcPr>
          <w:p w14:paraId="1EE86519" w14:textId="77777777" w:rsidR="00367936" w:rsidRDefault="00367936" w:rsidP="00C87835">
            <w:pPr>
              <w:rPr>
                <w:rFonts w:ascii="Roboto" w:hAnsi="Roboto"/>
                <w:sz w:val="20"/>
                <w:szCs w:val="20"/>
              </w:rPr>
            </w:pPr>
            <w:r>
              <w:rPr>
                <w:rFonts w:ascii="Roboto" w:hAnsi="Roboto"/>
                <w:sz w:val="20"/>
                <w:szCs w:val="20"/>
              </w:rPr>
              <w:t>Pathways Component</w:t>
            </w:r>
          </w:p>
        </w:tc>
        <w:tc>
          <w:tcPr>
            <w:tcW w:w="3955" w:type="dxa"/>
            <w:tcBorders>
              <w:top w:val="single" w:sz="4" w:space="0" w:color="auto"/>
              <w:bottom w:val="single" w:sz="4" w:space="0" w:color="auto"/>
            </w:tcBorders>
          </w:tcPr>
          <w:p w14:paraId="547B20EF" w14:textId="77777777" w:rsidR="00367936" w:rsidRDefault="00367936" w:rsidP="00C87835">
            <w:pPr>
              <w:rPr>
                <w:rFonts w:ascii="Roboto" w:hAnsi="Roboto"/>
                <w:sz w:val="20"/>
                <w:szCs w:val="20"/>
              </w:rPr>
            </w:pPr>
            <w:r>
              <w:rPr>
                <w:rFonts w:ascii="Roboto" w:hAnsi="Roboto"/>
                <w:sz w:val="20"/>
                <w:szCs w:val="20"/>
              </w:rPr>
              <w:t>Status</w:t>
            </w:r>
          </w:p>
        </w:tc>
      </w:tr>
      <w:tr w:rsidR="00367936" w14:paraId="15AFBEAB" w14:textId="77777777" w:rsidTr="00C87835">
        <w:tc>
          <w:tcPr>
            <w:tcW w:w="5395" w:type="dxa"/>
            <w:tcBorders>
              <w:top w:val="single" w:sz="4" w:space="0" w:color="auto"/>
            </w:tcBorders>
          </w:tcPr>
          <w:p w14:paraId="22ACEB1C" w14:textId="77777777" w:rsidR="00367936" w:rsidRDefault="00367936" w:rsidP="00C87835">
            <w:pPr>
              <w:autoSpaceDE w:val="0"/>
              <w:autoSpaceDN w:val="0"/>
              <w:adjustRightInd w:val="0"/>
              <w:spacing w:before="200" w:after="120"/>
              <w:rPr>
                <w:rFonts w:ascii="Roboto" w:hAnsi="Roboto" w:cs="Calibri"/>
                <w:color w:val="000000"/>
                <w:sz w:val="20"/>
                <w:szCs w:val="20"/>
              </w:rPr>
            </w:pPr>
            <w:r w:rsidRPr="0087258B">
              <w:rPr>
                <w:rFonts w:ascii="Roboto" w:hAnsi="Roboto" w:cs="Calibri"/>
                <w:color w:val="000000"/>
                <w:sz w:val="20"/>
                <w:szCs w:val="20"/>
              </w:rPr>
              <w:t>Students will be required to select a program of study as part of the intake experience (prior to first-term registration). The intake experience will guide students to select one of the eight area</w:t>
            </w:r>
            <w:r>
              <w:rPr>
                <w:rFonts w:ascii="Roboto" w:hAnsi="Roboto" w:cs="Calibri"/>
                <w:color w:val="000000"/>
                <w:sz w:val="20"/>
                <w:szCs w:val="20"/>
              </w:rPr>
              <w:t>s of</w:t>
            </w:r>
            <w:r w:rsidRPr="0087258B">
              <w:rPr>
                <w:rFonts w:ascii="Roboto" w:hAnsi="Roboto" w:cs="Calibri"/>
                <w:color w:val="000000"/>
                <w:sz w:val="20"/>
                <w:szCs w:val="20"/>
              </w:rPr>
              <w:t xml:space="preserve"> stud</w:t>
            </w:r>
            <w:r>
              <w:rPr>
                <w:rFonts w:ascii="Roboto" w:hAnsi="Roboto" w:cs="Calibri"/>
                <w:color w:val="000000"/>
                <w:sz w:val="20"/>
                <w:szCs w:val="20"/>
              </w:rPr>
              <w:t>y</w:t>
            </w:r>
            <w:r w:rsidRPr="0087258B">
              <w:rPr>
                <w:rFonts w:ascii="Roboto" w:hAnsi="Roboto" w:cs="Calibri"/>
                <w:color w:val="000000"/>
                <w:sz w:val="20"/>
                <w:szCs w:val="20"/>
              </w:rPr>
              <w:t xml:space="preserve">, but if a student knows the more specific program they wish to take, he or she will be able to select any currently existing degree or certificate program. </w:t>
            </w:r>
          </w:p>
          <w:p w14:paraId="52D490FA" w14:textId="7F84BF54" w:rsidR="000D06CC" w:rsidRPr="0087258B" w:rsidRDefault="000D06CC" w:rsidP="006527FF">
            <w:pPr>
              <w:rPr>
                <w:rFonts w:ascii="Roboto" w:hAnsi="Roboto" w:cs="Calibri"/>
                <w:color w:val="000000"/>
                <w:sz w:val="20"/>
                <w:szCs w:val="20"/>
              </w:rPr>
            </w:pPr>
          </w:p>
        </w:tc>
        <w:tc>
          <w:tcPr>
            <w:tcW w:w="3955" w:type="dxa"/>
            <w:tcBorders>
              <w:top w:val="single" w:sz="4" w:space="0" w:color="auto"/>
            </w:tcBorders>
          </w:tcPr>
          <w:p w14:paraId="3FCAAE4C" w14:textId="5D64F3EC" w:rsidR="00367936" w:rsidRPr="0087258B" w:rsidRDefault="00367936" w:rsidP="00C87835">
            <w:pPr>
              <w:autoSpaceDE w:val="0"/>
              <w:autoSpaceDN w:val="0"/>
              <w:adjustRightInd w:val="0"/>
              <w:spacing w:before="200" w:after="120"/>
              <w:rPr>
                <w:rFonts w:ascii="Roboto" w:hAnsi="Roboto" w:cs="Calibri"/>
                <w:i/>
                <w:iCs/>
                <w:color w:val="000000"/>
                <w:sz w:val="20"/>
                <w:szCs w:val="20"/>
              </w:rPr>
            </w:pPr>
            <w:r w:rsidRPr="0087258B">
              <w:rPr>
                <w:rFonts w:ascii="Roboto" w:hAnsi="Roboto" w:cs="Calibri"/>
                <w:i/>
                <w:iCs/>
                <w:color w:val="000000"/>
                <w:sz w:val="20"/>
                <w:szCs w:val="20"/>
              </w:rPr>
              <w:t xml:space="preserve">Phase I Complete. We are assessing results and will look to improve design in future iterations. </w:t>
            </w:r>
            <w:r>
              <w:rPr>
                <w:rFonts w:ascii="Roboto" w:hAnsi="Roboto" w:cs="Calibri"/>
                <w:i/>
                <w:iCs/>
                <w:color w:val="000000"/>
                <w:sz w:val="20"/>
                <w:szCs w:val="20"/>
              </w:rPr>
              <w:t>A</w:t>
            </w:r>
            <w:r w:rsidRPr="0087258B">
              <w:rPr>
                <w:rFonts w:ascii="Roboto" w:hAnsi="Roboto" w:cs="Calibri"/>
                <w:i/>
                <w:iCs/>
                <w:color w:val="000000"/>
                <w:sz w:val="20"/>
                <w:szCs w:val="20"/>
              </w:rPr>
              <w:t xml:space="preserve">n Area of Study </w:t>
            </w:r>
            <w:r>
              <w:rPr>
                <w:rFonts w:ascii="Roboto" w:hAnsi="Roboto" w:cs="Calibri"/>
                <w:i/>
                <w:iCs/>
                <w:color w:val="000000"/>
                <w:sz w:val="20"/>
                <w:szCs w:val="20"/>
              </w:rPr>
              <w:t xml:space="preserve">selection was required </w:t>
            </w:r>
            <w:r w:rsidRPr="0087258B">
              <w:rPr>
                <w:rFonts w:ascii="Roboto" w:hAnsi="Roboto" w:cs="Calibri"/>
                <w:i/>
                <w:iCs/>
                <w:color w:val="000000"/>
                <w:sz w:val="20"/>
                <w:szCs w:val="20"/>
              </w:rPr>
              <w:t>on the application starting Fall 2019.</w:t>
            </w:r>
          </w:p>
          <w:p w14:paraId="5D8D6D87" w14:textId="77777777" w:rsidR="00367936" w:rsidRDefault="00367936" w:rsidP="00C87835">
            <w:pPr>
              <w:rPr>
                <w:rFonts w:ascii="Roboto" w:hAnsi="Roboto"/>
                <w:sz w:val="20"/>
                <w:szCs w:val="20"/>
              </w:rPr>
            </w:pPr>
          </w:p>
        </w:tc>
      </w:tr>
      <w:tr w:rsidR="00367936" w14:paraId="2DB3A4DD" w14:textId="77777777" w:rsidTr="00C87835">
        <w:tc>
          <w:tcPr>
            <w:tcW w:w="5395" w:type="dxa"/>
          </w:tcPr>
          <w:p w14:paraId="5D8C5DF6" w14:textId="77777777" w:rsidR="005B3C0C" w:rsidRDefault="00367936" w:rsidP="005B3C0C">
            <w:pPr>
              <w:rPr>
                <w:rFonts w:ascii="Roboto" w:hAnsi="Roboto" w:cs="Calibri"/>
                <w:color w:val="000000"/>
                <w:sz w:val="20"/>
                <w:szCs w:val="20"/>
              </w:rPr>
            </w:pPr>
            <w:r w:rsidRPr="005B3C0C">
              <w:rPr>
                <w:rFonts w:ascii="Roboto" w:hAnsi="Roboto" w:cs="Calibri"/>
                <w:color w:val="000000"/>
                <w:sz w:val="20"/>
                <w:szCs w:val="20"/>
              </w:rPr>
              <w:t>Recruiting materials, intake processes, and web site communication will be redesigned to present the college through the lens of the eight areas of study. This will be integrated with the recommendations from the 2017 strategic enrollment management recommendation</w:t>
            </w:r>
            <w:r w:rsidR="005B3C0C">
              <w:rPr>
                <w:rFonts w:ascii="Roboto" w:hAnsi="Roboto" w:cs="Calibri"/>
                <w:color w:val="000000"/>
                <w:sz w:val="20"/>
                <w:szCs w:val="20"/>
              </w:rPr>
              <w:t xml:space="preserve">s. </w:t>
            </w:r>
          </w:p>
          <w:p w14:paraId="5429630E" w14:textId="77777777" w:rsidR="005B3C0C" w:rsidRDefault="005B3C0C" w:rsidP="005B3C0C">
            <w:pPr>
              <w:rPr>
                <w:rFonts w:ascii="Roboto" w:hAnsi="Roboto" w:cs="Calibri"/>
                <w:color w:val="000000"/>
                <w:sz w:val="20"/>
                <w:szCs w:val="20"/>
              </w:rPr>
            </w:pPr>
          </w:p>
          <w:p w14:paraId="12326BCF" w14:textId="3DD4B157" w:rsidR="00367936" w:rsidRDefault="00367936" w:rsidP="006527FF">
            <w:pPr>
              <w:rPr>
                <w:rFonts w:ascii="Roboto" w:hAnsi="Roboto"/>
                <w:sz w:val="20"/>
                <w:szCs w:val="20"/>
              </w:rPr>
            </w:pPr>
          </w:p>
        </w:tc>
        <w:tc>
          <w:tcPr>
            <w:tcW w:w="3955" w:type="dxa"/>
          </w:tcPr>
          <w:p w14:paraId="335E94D4" w14:textId="6E6E9311" w:rsidR="00367936" w:rsidRPr="006527FF" w:rsidRDefault="00367936" w:rsidP="00C87835">
            <w:pPr>
              <w:autoSpaceDE w:val="0"/>
              <w:autoSpaceDN w:val="0"/>
              <w:adjustRightInd w:val="0"/>
              <w:spacing w:before="200" w:after="120"/>
              <w:rPr>
                <w:rFonts w:ascii="Roboto" w:hAnsi="Roboto" w:cs="Calibri"/>
                <w:i/>
                <w:iCs/>
                <w:color w:val="000000"/>
                <w:sz w:val="20"/>
                <w:szCs w:val="20"/>
              </w:rPr>
            </w:pPr>
            <w:r w:rsidRPr="006527FF">
              <w:rPr>
                <w:rFonts w:ascii="Roboto" w:hAnsi="Roboto" w:cs="Calibri"/>
                <w:i/>
                <w:iCs/>
                <w:color w:val="000000"/>
                <w:sz w:val="20"/>
                <w:szCs w:val="20"/>
              </w:rPr>
              <w:t xml:space="preserve">Complete. Evaluating effectiveness of current approach. The general catalog was also re-arranged along areas of study. </w:t>
            </w:r>
          </w:p>
          <w:p w14:paraId="0DFB4C6B" w14:textId="77777777" w:rsidR="006527FF" w:rsidRPr="006527FF" w:rsidRDefault="006527FF" w:rsidP="006527FF">
            <w:pPr>
              <w:rPr>
                <w:rFonts w:ascii="Roboto" w:hAnsi="Roboto" w:cs="Calibri"/>
                <w:i/>
                <w:iCs/>
                <w:color w:val="000000"/>
                <w:sz w:val="20"/>
                <w:szCs w:val="20"/>
              </w:rPr>
            </w:pPr>
            <w:r w:rsidRPr="006527FF">
              <w:rPr>
                <w:rFonts w:ascii="Roboto" w:hAnsi="Roboto" w:cs="Calibri"/>
                <w:i/>
                <w:iCs/>
                <w:color w:val="000000"/>
                <w:sz w:val="20"/>
                <w:szCs w:val="20"/>
              </w:rPr>
              <w:t xml:space="preserve">Pathways presentations are made at the annual High School Counselor Conference, the USHE Statewide Counseling Conference, and annual High School Principals’ luncheon. In presentations, counselors and principals are introduced to the general Pathways model, Area of Study web pages and other college Pathways materials. </w:t>
            </w:r>
          </w:p>
          <w:p w14:paraId="7CAF5964" w14:textId="77777777" w:rsidR="006527FF" w:rsidRPr="006527FF" w:rsidRDefault="006527FF" w:rsidP="006527FF">
            <w:pPr>
              <w:rPr>
                <w:rFonts w:ascii="Helvetica" w:hAnsi="Helvetica" w:cs="Calibri"/>
                <w:i/>
                <w:iCs/>
              </w:rPr>
            </w:pPr>
          </w:p>
          <w:p w14:paraId="6E055E31" w14:textId="77777777" w:rsidR="006527FF" w:rsidRPr="006527FF" w:rsidRDefault="006527FF" w:rsidP="006527FF">
            <w:pPr>
              <w:rPr>
                <w:rFonts w:ascii="Helvetica" w:hAnsi="Helvetica" w:cs="Calibri"/>
                <w:i/>
                <w:iCs/>
                <w:sz w:val="20"/>
                <w:szCs w:val="20"/>
              </w:rPr>
            </w:pPr>
            <w:r w:rsidRPr="006527FF">
              <w:rPr>
                <w:rFonts w:ascii="Helvetica" w:hAnsi="Helvetica" w:cs="Calibri"/>
                <w:i/>
                <w:iCs/>
                <w:sz w:val="20"/>
                <w:szCs w:val="20"/>
              </w:rPr>
              <w:t xml:space="preserve">The new Area of Study landing pages function as one component of the decision-making tools for exploring students. In addition to outlining simplified steps to degree or credential completion, the pages provide an overview of the college’s offerings, prompt personal reflection and clarify the outcomes associated with particular areas and majors. Further guidance appears in the form of </w:t>
            </w:r>
            <w:proofErr w:type="spellStart"/>
            <w:r w:rsidRPr="006527FF">
              <w:rPr>
                <w:rFonts w:ascii="Helvetica" w:hAnsi="Helvetica" w:cs="Calibri"/>
                <w:i/>
                <w:iCs/>
                <w:sz w:val="20"/>
                <w:szCs w:val="20"/>
              </w:rPr>
              <w:t>AoS</w:t>
            </w:r>
            <w:proofErr w:type="spellEnd"/>
            <w:r w:rsidRPr="006527FF">
              <w:rPr>
                <w:rFonts w:ascii="Helvetica" w:hAnsi="Helvetica" w:cs="Calibri"/>
                <w:i/>
                <w:iCs/>
                <w:sz w:val="20"/>
                <w:szCs w:val="20"/>
              </w:rPr>
              <w:t xml:space="preserve">-specific “First Five” class lists, contact information for </w:t>
            </w:r>
            <w:proofErr w:type="spellStart"/>
            <w:r w:rsidRPr="006527FF">
              <w:rPr>
                <w:rFonts w:ascii="Helvetica" w:hAnsi="Helvetica" w:cs="Calibri"/>
                <w:i/>
                <w:iCs/>
                <w:sz w:val="20"/>
                <w:szCs w:val="20"/>
              </w:rPr>
              <w:t>AoS</w:t>
            </w:r>
            <w:proofErr w:type="spellEnd"/>
            <w:r w:rsidRPr="006527FF">
              <w:rPr>
                <w:rFonts w:ascii="Helvetica" w:hAnsi="Helvetica" w:cs="Calibri"/>
                <w:i/>
                <w:iCs/>
                <w:sz w:val="20"/>
                <w:szCs w:val="20"/>
              </w:rPr>
              <w:t xml:space="preserve"> advisors and career coaches, and online career exploration tools. </w:t>
            </w:r>
          </w:p>
          <w:p w14:paraId="5EFB6A38" w14:textId="77777777" w:rsidR="006527FF" w:rsidRPr="006527FF" w:rsidRDefault="006527FF" w:rsidP="006527FF">
            <w:pPr>
              <w:rPr>
                <w:rFonts w:ascii="Helvetica" w:hAnsi="Helvetica" w:cs="Calibri"/>
                <w:i/>
                <w:iCs/>
                <w:sz w:val="20"/>
                <w:szCs w:val="20"/>
              </w:rPr>
            </w:pPr>
          </w:p>
          <w:p w14:paraId="6E26E040" w14:textId="77777777" w:rsidR="006527FF" w:rsidRPr="006527FF" w:rsidRDefault="006527FF" w:rsidP="006527FF">
            <w:pPr>
              <w:rPr>
                <w:rFonts w:ascii="Helvetica" w:hAnsi="Helvetica" w:cs="Calibri"/>
                <w:i/>
                <w:iCs/>
                <w:sz w:val="20"/>
                <w:szCs w:val="20"/>
              </w:rPr>
            </w:pPr>
            <w:r w:rsidRPr="006527FF">
              <w:rPr>
                <w:rFonts w:ascii="Helvetica" w:hAnsi="Helvetica" w:cs="Calibri"/>
                <w:i/>
                <w:iCs/>
                <w:sz w:val="20"/>
                <w:szCs w:val="20"/>
              </w:rPr>
              <w:t xml:space="preserve">Students with declared majors typically bypass these pages </w:t>
            </w:r>
            <w:proofErr w:type="spellStart"/>
            <w:r w:rsidRPr="006527FF">
              <w:rPr>
                <w:rFonts w:ascii="Helvetica" w:hAnsi="Helvetica" w:cs="Calibri"/>
                <w:i/>
                <w:iCs/>
                <w:sz w:val="20"/>
                <w:szCs w:val="20"/>
              </w:rPr>
              <w:t>en</w:t>
            </w:r>
            <w:proofErr w:type="spellEnd"/>
            <w:r w:rsidRPr="006527FF">
              <w:rPr>
                <w:rFonts w:ascii="Helvetica" w:hAnsi="Helvetica" w:cs="Calibri"/>
                <w:i/>
                <w:iCs/>
                <w:sz w:val="20"/>
                <w:szCs w:val="20"/>
              </w:rPr>
              <w:t xml:space="preserve"> route to their program/major pages.</w:t>
            </w:r>
          </w:p>
          <w:p w14:paraId="6475E565" w14:textId="77777777" w:rsidR="006527FF" w:rsidRPr="006527FF" w:rsidRDefault="006527FF" w:rsidP="006527FF">
            <w:pPr>
              <w:rPr>
                <w:rFonts w:ascii="Roboto" w:hAnsi="Roboto" w:cs="Calibri"/>
                <w:i/>
                <w:iCs/>
                <w:color w:val="000000"/>
                <w:sz w:val="20"/>
                <w:szCs w:val="20"/>
              </w:rPr>
            </w:pPr>
          </w:p>
          <w:p w14:paraId="19EE2E22" w14:textId="77777777" w:rsidR="006527FF" w:rsidRPr="006527FF" w:rsidRDefault="006527FF" w:rsidP="006527FF">
            <w:pPr>
              <w:rPr>
                <w:rFonts w:ascii="Roboto" w:hAnsi="Roboto" w:cs="Calibri"/>
                <w:i/>
                <w:iCs/>
                <w:color w:val="000000"/>
                <w:sz w:val="20"/>
                <w:szCs w:val="20"/>
              </w:rPr>
            </w:pPr>
          </w:p>
          <w:p w14:paraId="616C8B0B" w14:textId="77777777" w:rsidR="006527FF" w:rsidRPr="006527FF" w:rsidRDefault="006527FF" w:rsidP="006527FF">
            <w:pPr>
              <w:rPr>
                <w:rFonts w:ascii="Helvetica" w:hAnsi="Helvetica" w:cs="Calibri"/>
                <w:i/>
                <w:iCs/>
                <w:color w:val="000000"/>
                <w:sz w:val="20"/>
                <w:szCs w:val="20"/>
              </w:rPr>
            </w:pPr>
            <w:r w:rsidRPr="006527FF">
              <w:rPr>
                <w:rFonts w:ascii="Helvetica" w:hAnsi="Helvetica" w:cs="Calibri"/>
                <w:i/>
                <w:iCs/>
                <w:color w:val="000000"/>
                <w:sz w:val="20"/>
                <w:szCs w:val="20"/>
              </w:rPr>
              <w:lastRenderedPageBreak/>
              <w:t xml:space="preserve">To complement the Pathways-specific application, follow-up automated email messages are sent to students who have completed an application and students who have started, but not completed, an application. These messages track the student along their enrollment path and automatically send reminders about completing the enrollment steps. </w:t>
            </w:r>
          </w:p>
          <w:p w14:paraId="0A1FEDAF" w14:textId="77777777" w:rsidR="00367936" w:rsidRDefault="00367936" w:rsidP="00C87835">
            <w:pPr>
              <w:rPr>
                <w:rFonts w:ascii="Roboto" w:hAnsi="Roboto"/>
                <w:i/>
                <w:iCs/>
                <w:sz w:val="20"/>
                <w:szCs w:val="20"/>
              </w:rPr>
            </w:pPr>
          </w:p>
          <w:p w14:paraId="05EE133E" w14:textId="77777777" w:rsidR="006527FF" w:rsidRPr="006527FF" w:rsidRDefault="006527FF" w:rsidP="006527FF">
            <w:pPr>
              <w:rPr>
                <w:rFonts w:ascii="Helvetica" w:hAnsi="Helvetica" w:cs="Calibri"/>
                <w:i/>
                <w:iCs/>
                <w:color w:val="000000"/>
                <w:sz w:val="20"/>
                <w:szCs w:val="20"/>
              </w:rPr>
            </w:pPr>
            <w:r w:rsidRPr="006527FF">
              <w:rPr>
                <w:rFonts w:ascii="Helvetica" w:hAnsi="Helvetica" w:cs="Calibri"/>
                <w:i/>
                <w:iCs/>
                <w:color w:val="000000"/>
                <w:sz w:val="20"/>
                <w:szCs w:val="20"/>
              </w:rPr>
              <w:t xml:space="preserve">To support ongoing and coordinated enrollment message campaigns, a new system for event registration has been implemented. Events Rx adds event registrants’ contact information to a common database. A new texting platform also allows for follow-up messaging to students, which cuts texting costs by more than half. </w:t>
            </w:r>
          </w:p>
          <w:p w14:paraId="4E805E6F" w14:textId="6CE0E0E0" w:rsidR="006527FF" w:rsidRPr="006527FF" w:rsidRDefault="006527FF" w:rsidP="00C87835">
            <w:pPr>
              <w:rPr>
                <w:rFonts w:ascii="Roboto" w:hAnsi="Roboto"/>
                <w:i/>
                <w:iCs/>
                <w:sz w:val="20"/>
                <w:szCs w:val="20"/>
              </w:rPr>
            </w:pPr>
          </w:p>
        </w:tc>
      </w:tr>
    </w:tbl>
    <w:p w14:paraId="362DF67E" w14:textId="67BBC49A" w:rsidR="000D06CC" w:rsidRDefault="000D06CC" w:rsidP="000D06CC">
      <w:pPr>
        <w:rPr>
          <w:rFonts w:ascii="Roboto" w:hAnsi="Roboto"/>
          <w:sz w:val="20"/>
          <w:szCs w:val="20"/>
        </w:rPr>
      </w:pPr>
    </w:p>
    <w:p w14:paraId="5FC87246" w14:textId="77777777" w:rsidR="00367936" w:rsidRDefault="00367936" w:rsidP="00367936">
      <w:pPr>
        <w:rPr>
          <w:rFonts w:ascii="Roboto" w:hAnsi="Roboto"/>
          <w:sz w:val="20"/>
          <w:szCs w:val="20"/>
        </w:rPr>
      </w:pPr>
    </w:p>
    <w:p w14:paraId="117060E5" w14:textId="77777777" w:rsidR="006527FF" w:rsidRPr="006527FF" w:rsidRDefault="006527FF" w:rsidP="006527FF">
      <w:pPr>
        <w:jc w:val="center"/>
        <w:rPr>
          <w:rFonts w:ascii="Roboto" w:hAnsi="Roboto"/>
          <w:b/>
          <w:bCs/>
          <w:sz w:val="20"/>
          <w:szCs w:val="20"/>
        </w:rPr>
      </w:pPr>
      <w:r w:rsidRPr="006527FF">
        <w:rPr>
          <w:rFonts w:ascii="Roboto" w:hAnsi="Roboto"/>
          <w:b/>
          <w:bCs/>
          <w:sz w:val="20"/>
          <w:szCs w:val="20"/>
        </w:rPr>
        <w:t>Guiding Students</w:t>
      </w:r>
    </w:p>
    <w:p w14:paraId="27D4C5EB" w14:textId="1F41EF02" w:rsidR="00367936" w:rsidRPr="006527FF" w:rsidRDefault="00367936" w:rsidP="006527FF">
      <w:pPr>
        <w:jc w:val="center"/>
        <w:rPr>
          <w:rFonts w:ascii="Roboto" w:hAnsi="Roboto"/>
          <w:b/>
          <w:bCs/>
          <w:i/>
          <w:iCs/>
          <w:sz w:val="20"/>
          <w:szCs w:val="20"/>
        </w:rPr>
      </w:pPr>
      <w:r w:rsidRPr="006527FF">
        <w:rPr>
          <w:rFonts w:ascii="Roboto" w:hAnsi="Roboto"/>
          <w:b/>
          <w:bCs/>
          <w:i/>
          <w:iCs/>
          <w:sz w:val="20"/>
          <w:szCs w:val="20"/>
        </w:rPr>
        <w:t>Academic Advising</w:t>
      </w:r>
    </w:p>
    <w:p w14:paraId="3F7AF3F2" w14:textId="77777777" w:rsidR="006527FF" w:rsidRPr="006527FF" w:rsidRDefault="006527FF" w:rsidP="006527FF">
      <w:pPr>
        <w:jc w:val="center"/>
        <w:rPr>
          <w:rFonts w:ascii="Roboto" w:hAnsi="Roboto"/>
          <w:b/>
          <w:bC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3955"/>
      </w:tblGrid>
      <w:tr w:rsidR="00367936" w14:paraId="28AD5685" w14:textId="77777777" w:rsidTr="00C87835">
        <w:tc>
          <w:tcPr>
            <w:tcW w:w="5395" w:type="dxa"/>
            <w:tcBorders>
              <w:top w:val="single" w:sz="4" w:space="0" w:color="auto"/>
              <w:bottom w:val="single" w:sz="4" w:space="0" w:color="auto"/>
            </w:tcBorders>
          </w:tcPr>
          <w:p w14:paraId="28B97DB9" w14:textId="77777777" w:rsidR="00367936" w:rsidRDefault="00367936" w:rsidP="00C87835">
            <w:pPr>
              <w:rPr>
                <w:rFonts w:ascii="Roboto" w:hAnsi="Roboto"/>
                <w:sz w:val="20"/>
                <w:szCs w:val="20"/>
              </w:rPr>
            </w:pPr>
            <w:r>
              <w:rPr>
                <w:rFonts w:ascii="Roboto" w:hAnsi="Roboto"/>
                <w:sz w:val="20"/>
                <w:szCs w:val="20"/>
              </w:rPr>
              <w:t>Pathways Component</w:t>
            </w:r>
          </w:p>
        </w:tc>
        <w:tc>
          <w:tcPr>
            <w:tcW w:w="3955" w:type="dxa"/>
            <w:tcBorders>
              <w:top w:val="single" w:sz="4" w:space="0" w:color="auto"/>
              <w:bottom w:val="single" w:sz="4" w:space="0" w:color="auto"/>
            </w:tcBorders>
          </w:tcPr>
          <w:p w14:paraId="6F18E245" w14:textId="77777777" w:rsidR="00367936" w:rsidRDefault="00367936" w:rsidP="00C87835">
            <w:pPr>
              <w:rPr>
                <w:rFonts w:ascii="Roboto" w:hAnsi="Roboto"/>
                <w:sz w:val="20"/>
                <w:szCs w:val="20"/>
              </w:rPr>
            </w:pPr>
            <w:r>
              <w:rPr>
                <w:rFonts w:ascii="Roboto" w:hAnsi="Roboto"/>
                <w:sz w:val="20"/>
                <w:szCs w:val="20"/>
              </w:rPr>
              <w:t>Status</w:t>
            </w:r>
          </w:p>
        </w:tc>
      </w:tr>
      <w:tr w:rsidR="00367936" w14:paraId="29ECD4B5" w14:textId="77777777" w:rsidTr="00C87835">
        <w:tc>
          <w:tcPr>
            <w:tcW w:w="5395" w:type="dxa"/>
            <w:tcBorders>
              <w:top w:val="single" w:sz="4" w:space="0" w:color="auto"/>
            </w:tcBorders>
          </w:tcPr>
          <w:p w14:paraId="1CDD040F" w14:textId="77777777" w:rsidR="00367936" w:rsidRDefault="00367936" w:rsidP="00C87835">
            <w:pPr>
              <w:autoSpaceDE w:val="0"/>
              <w:autoSpaceDN w:val="0"/>
              <w:adjustRightInd w:val="0"/>
              <w:spacing w:before="200" w:after="120"/>
              <w:rPr>
                <w:rFonts w:ascii="Roboto" w:hAnsi="Roboto"/>
                <w:sz w:val="20"/>
                <w:szCs w:val="20"/>
              </w:rPr>
            </w:pPr>
            <w:r w:rsidRPr="0087258B">
              <w:rPr>
                <w:rFonts w:ascii="Roboto" w:hAnsi="Roboto" w:cs="Calibri"/>
                <w:sz w:val="20"/>
                <w:szCs w:val="20"/>
              </w:rPr>
              <w:t xml:space="preserve">General academic advising at SLCC will be phased out. Academic advising will be organized to support the eight new </w:t>
            </w:r>
            <w:r>
              <w:rPr>
                <w:rFonts w:ascii="Roboto" w:hAnsi="Roboto" w:cs="Calibri"/>
                <w:sz w:val="20"/>
                <w:szCs w:val="20"/>
              </w:rPr>
              <w:t>areas of study</w:t>
            </w:r>
            <w:r w:rsidRPr="0087258B">
              <w:rPr>
                <w:rFonts w:ascii="Roboto" w:hAnsi="Roboto" w:cs="Calibri"/>
                <w:sz w:val="20"/>
                <w:szCs w:val="20"/>
              </w:rPr>
              <w:t xml:space="preserve"> and their associated more specific degree programs.</w:t>
            </w:r>
          </w:p>
        </w:tc>
        <w:tc>
          <w:tcPr>
            <w:tcW w:w="3955" w:type="dxa"/>
            <w:tcBorders>
              <w:top w:val="single" w:sz="4" w:space="0" w:color="auto"/>
            </w:tcBorders>
          </w:tcPr>
          <w:p w14:paraId="65F181D2" w14:textId="77777777" w:rsidR="00367936" w:rsidRPr="0087258B" w:rsidRDefault="00367936" w:rsidP="00C87835">
            <w:pPr>
              <w:autoSpaceDE w:val="0"/>
              <w:autoSpaceDN w:val="0"/>
              <w:adjustRightInd w:val="0"/>
              <w:spacing w:before="200" w:after="120"/>
              <w:rPr>
                <w:rFonts w:ascii="Roboto" w:hAnsi="Roboto"/>
                <w:i/>
                <w:iCs/>
                <w:sz w:val="20"/>
                <w:szCs w:val="20"/>
              </w:rPr>
            </w:pPr>
            <w:r w:rsidRPr="0087258B">
              <w:rPr>
                <w:rFonts w:ascii="Roboto" w:hAnsi="Roboto" w:cs="Calibri"/>
                <w:i/>
                <w:iCs/>
                <w:sz w:val="20"/>
                <w:szCs w:val="20"/>
              </w:rPr>
              <w:t xml:space="preserve">In Progress. </w:t>
            </w:r>
          </w:p>
          <w:p w14:paraId="7D0E5557" w14:textId="77777777" w:rsidR="00367936" w:rsidRDefault="00367936" w:rsidP="00C87835">
            <w:pPr>
              <w:rPr>
                <w:rFonts w:ascii="Roboto" w:hAnsi="Roboto"/>
                <w:sz w:val="20"/>
                <w:szCs w:val="20"/>
              </w:rPr>
            </w:pPr>
          </w:p>
        </w:tc>
      </w:tr>
      <w:tr w:rsidR="00367936" w14:paraId="2EEC1DFA" w14:textId="77777777" w:rsidTr="00C87835">
        <w:tc>
          <w:tcPr>
            <w:tcW w:w="5395" w:type="dxa"/>
          </w:tcPr>
          <w:p w14:paraId="7DA8DF05" w14:textId="77777777" w:rsidR="00367936" w:rsidRDefault="00367936" w:rsidP="00C87835">
            <w:pPr>
              <w:autoSpaceDE w:val="0"/>
              <w:autoSpaceDN w:val="0"/>
              <w:adjustRightInd w:val="0"/>
              <w:spacing w:before="200"/>
              <w:rPr>
                <w:rFonts w:ascii="Roboto" w:hAnsi="Roboto"/>
                <w:sz w:val="20"/>
                <w:szCs w:val="20"/>
              </w:rPr>
            </w:pPr>
            <w:r w:rsidRPr="0087258B">
              <w:rPr>
                <w:rFonts w:ascii="Roboto" w:hAnsi="Roboto" w:cs="Calibri"/>
                <w:sz w:val="20"/>
                <w:szCs w:val="20"/>
              </w:rPr>
              <w:t>We will implement a case-management, intrusive advising model where students are supported through the use of developmental advising</w:t>
            </w:r>
            <w:r w:rsidRPr="00AC2092">
              <w:rPr>
                <w:rStyle w:val="FootnoteReference"/>
                <w:rFonts w:ascii="Roboto" w:hAnsi="Roboto" w:cs="Calibri"/>
              </w:rPr>
              <w:footnoteReference w:id="1"/>
            </w:r>
            <w:r w:rsidRPr="0087258B">
              <w:rPr>
                <w:rFonts w:ascii="Roboto" w:hAnsi="Roboto" w:cs="Calibri"/>
                <w:sz w:val="20"/>
                <w:szCs w:val="20"/>
              </w:rPr>
              <w:t xml:space="preserve"> towards the common goal of choosing and advancing through a program of study. The tool used for this will be </w:t>
            </w:r>
            <w:proofErr w:type="spellStart"/>
            <w:r w:rsidRPr="0087258B">
              <w:rPr>
                <w:rFonts w:ascii="Roboto" w:hAnsi="Roboto" w:cs="Calibri"/>
                <w:sz w:val="20"/>
                <w:szCs w:val="20"/>
              </w:rPr>
              <w:t>MySuccess</w:t>
            </w:r>
            <w:proofErr w:type="spellEnd"/>
            <w:r w:rsidRPr="0087258B">
              <w:rPr>
                <w:rFonts w:ascii="Roboto" w:hAnsi="Roboto" w:cs="Calibri"/>
                <w:sz w:val="20"/>
                <w:szCs w:val="20"/>
              </w:rPr>
              <w:t xml:space="preserve"> (Starfish) &amp; </w:t>
            </w:r>
            <w:proofErr w:type="spellStart"/>
            <w:r w:rsidRPr="0087258B">
              <w:rPr>
                <w:rFonts w:ascii="Roboto" w:hAnsi="Roboto" w:cs="Calibri"/>
                <w:sz w:val="20"/>
                <w:szCs w:val="20"/>
              </w:rPr>
              <w:t>DegreeWorks</w:t>
            </w:r>
            <w:proofErr w:type="spellEnd"/>
            <w:r w:rsidRPr="0087258B">
              <w:rPr>
                <w:rFonts w:ascii="Roboto" w:hAnsi="Roboto" w:cs="Calibri"/>
                <w:sz w:val="20"/>
                <w:szCs w:val="20"/>
              </w:rPr>
              <w:t xml:space="preserve">. </w:t>
            </w:r>
          </w:p>
        </w:tc>
        <w:tc>
          <w:tcPr>
            <w:tcW w:w="3955" w:type="dxa"/>
          </w:tcPr>
          <w:p w14:paraId="5280B6A8" w14:textId="1E6ADD24" w:rsidR="00367936" w:rsidRPr="0087258B" w:rsidRDefault="00367936" w:rsidP="00C87835">
            <w:pPr>
              <w:autoSpaceDE w:val="0"/>
              <w:autoSpaceDN w:val="0"/>
              <w:adjustRightInd w:val="0"/>
              <w:spacing w:before="200" w:after="120"/>
              <w:rPr>
                <w:rFonts w:ascii="Roboto" w:hAnsi="Roboto"/>
                <w:i/>
                <w:iCs/>
                <w:sz w:val="20"/>
                <w:szCs w:val="20"/>
              </w:rPr>
            </w:pPr>
            <w:r w:rsidRPr="0087258B">
              <w:rPr>
                <w:rFonts w:ascii="Roboto" w:hAnsi="Roboto" w:cs="Calibri"/>
                <w:i/>
                <w:iCs/>
                <w:sz w:val="20"/>
                <w:szCs w:val="20"/>
              </w:rPr>
              <w:t xml:space="preserve">In Progress. Model has been developed and piloted in a few instances. Results have been mixed. </w:t>
            </w:r>
            <w:r>
              <w:rPr>
                <w:rFonts w:ascii="Roboto" w:hAnsi="Roboto" w:cs="Calibri"/>
                <w:i/>
                <w:iCs/>
                <w:sz w:val="20"/>
                <w:szCs w:val="20"/>
              </w:rPr>
              <w:t>There have been c</w:t>
            </w:r>
            <w:r w:rsidRPr="0087258B">
              <w:rPr>
                <w:rFonts w:ascii="Roboto" w:hAnsi="Roboto" w:cs="Calibri"/>
                <w:i/>
                <w:iCs/>
                <w:sz w:val="20"/>
                <w:szCs w:val="20"/>
              </w:rPr>
              <w:t xml:space="preserve">hallenges in changing college systems to support new design. </w:t>
            </w:r>
          </w:p>
        </w:tc>
      </w:tr>
      <w:tr w:rsidR="00367936" w14:paraId="65F8594D" w14:textId="77777777" w:rsidTr="00C87835">
        <w:tc>
          <w:tcPr>
            <w:tcW w:w="5395" w:type="dxa"/>
          </w:tcPr>
          <w:p w14:paraId="3346DC95" w14:textId="77777777" w:rsidR="00367936" w:rsidRDefault="00367936" w:rsidP="00C87835">
            <w:pPr>
              <w:autoSpaceDE w:val="0"/>
              <w:autoSpaceDN w:val="0"/>
              <w:adjustRightInd w:val="0"/>
              <w:spacing w:before="200" w:after="120"/>
              <w:rPr>
                <w:rFonts w:ascii="Roboto" w:hAnsi="Roboto"/>
                <w:sz w:val="20"/>
                <w:szCs w:val="20"/>
              </w:rPr>
            </w:pPr>
            <w:r w:rsidRPr="0087258B">
              <w:rPr>
                <w:rFonts w:ascii="Roboto" w:hAnsi="Roboto" w:cs="Calibri"/>
                <w:sz w:val="20"/>
                <w:szCs w:val="20"/>
              </w:rPr>
              <w:t>Students will lock in an academic plan in the first calendar year or before completing the first fifteen credits (whichever comes first). The student advising experience must be designed so that the student repeatedly reaffirms the plan or makes the necessary changes.</w:t>
            </w:r>
          </w:p>
        </w:tc>
        <w:tc>
          <w:tcPr>
            <w:tcW w:w="3955" w:type="dxa"/>
          </w:tcPr>
          <w:p w14:paraId="40891506" w14:textId="77777777" w:rsidR="00367936" w:rsidRPr="0087258B" w:rsidRDefault="00367936" w:rsidP="00C87835">
            <w:pPr>
              <w:autoSpaceDE w:val="0"/>
              <w:autoSpaceDN w:val="0"/>
              <w:adjustRightInd w:val="0"/>
              <w:spacing w:before="200" w:after="120"/>
              <w:rPr>
                <w:rFonts w:ascii="Roboto" w:hAnsi="Roboto"/>
                <w:i/>
                <w:iCs/>
                <w:sz w:val="20"/>
                <w:szCs w:val="20"/>
              </w:rPr>
            </w:pPr>
            <w:r w:rsidRPr="0087258B">
              <w:rPr>
                <w:rFonts w:ascii="Roboto" w:hAnsi="Roboto" w:cs="Calibri"/>
                <w:i/>
                <w:iCs/>
                <w:sz w:val="20"/>
                <w:szCs w:val="20"/>
              </w:rPr>
              <w:t>In Progress</w:t>
            </w:r>
          </w:p>
        </w:tc>
      </w:tr>
      <w:tr w:rsidR="00367936" w14:paraId="3F8DDFC6" w14:textId="77777777" w:rsidTr="00C87835">
        <w:tc>
          <w:tcPr>
            <w:tcW w:w="5395" w:type="dxa"/>
          </w:tcPr>
          <w:p w14:paraId="00D7B611" w14:textId="77777777" w:rsidR="000D06CC" w:rsidRDefault="000D06CC" w:rsidP="000D06CC">
            <w:pPr>
              <w:rPr>
                <w:rFonts w:ascii="Roboto" w:hAnsi="Roboto" w:cs="Calibri"/>
                <w:sz w:val="20"/>
                <w:szCs w:val="20"/>
              </w:rPr>
            </w:pPr>
          </w:p>
          <w:p w14:paraId="39BC0691" w14:textId="75420571" w:rsidR="000D06CC" w:rsidRDefault="00367936" w:rsidP="000D06CC">
            <w:pPr>
              <w:rPr>
                <w:rFonts w:ascii="Roboto" w:hAnsi="Roboto" w:cs="Calibri"/>
                <w:sz w:val="20"/>
                <w:szCs w:val="20"/>
              </w:rPr>
            </w:pPr>
            <w:r w:rsidRPr="0087258B">
              <w:rPr>
                <w:rFonts w:ascii="Roboto" w:hAnsi="Roboto" w:cs="Calibri"/>
                <w:sz w:val="20"/>
                <w:szCs w:val="20"/>
              </w:rPr>
              <w:t xml:space="preserve">Career advising will be embedded within the pathway. </w:t>
            </w:r>
          </w:p>
          <w:p w14:paraId="37C2931C" w14:textId="77777777" w:rsidR="000D06CC" w:rsidRDefault="000D06CC" w:rsidP="000D06CC">
            <w:pPr>
              <w:rPr>
                <w:rFonts w:ascii="Helvetica" w:hAnsi="Helvetica" w:cs="Calibri"/>
                <w:sz w:val="20"/>
                <w:szCs w:val="20"/>
              </w:rPr>
            </w:pPr>
          </w:p>
          <w:p w14:paraId="4E8128F6" w14:textId="4D4AB2D6" w:rsidR="000D06CC" w:rsidRPr="000D06CC" w:rsidRDefault="000D06CC" w:rsidP="000D06CC">
            <w:pPr>
              <w:rPr>
                <w:rFonts w:ascii="Helvetica" w:hAnsi="Helvetica" w:cs="Calibri"/>
                <w:sz w:val="20"/>
                <w:szCs w:val="20"/>
              </w:rPr>
            </w:pPr>
            <w:r w:rsidRPr="000D06CC">
              <w:rPr>
                <w:rFonts w:ascii="Helvetica" w:hAnsi="Helvetica" w:cs="Calibri"/>
                <w:sz w:val="20"/>
                <w:szCs w:val="20"/>
              </w:rPr>
              <w:lastRenderedPageBreak/>
              <w:t>.</w:t>
            </w:r>
          </w:p>
          <w:p w14:paraId="4C0D4D98" w14:textId="77777777" w:rsidR="000D06CC" w:rsidRPr="000D06CC" w:rsidRDefault="000D06CC" w:rsidP="000D06CC">
            <w:pPr>
              <w:rPr>
                <w:rFonts w:ascii="Helvetica" w:hAnsi="Helvetica"/>
                <w:sz w:val="20"/>
                <w:szCs w:val="20"/>
              </w:rPr>
            </w:pPr>
          </w:p>
          <w:p w14:paraId="0386BBD0" w14:textId="35668D19" w:rsidR="00367936" w:rsidRPr="0087258B" w:rsidRDefault="00367936" w:rsidP="00C87835">
            <w:pPr>
              <w:autoSpaceDE w:val="0"/>
              <w:autoSpaceDN w:val="0"/>
              <w:adjustRightInd w:val="0"/>
              <w:spacing w:before="200"/>
              <w:rPr>
                <w:rFonts w:ascii="Roboto" w:hAnsi="Roboto" w:cs="Calibri"/>
                <w:b/>
                <w:bCs/>
                <w:color w:val="000000"/>
                <w:sz w:val="20"/>
                <w:szCs w:val="20"/>
              </w:rPr>
            </w:pPr>
          </w:p>
          <w:p w14:paraId="62DFD00F" w14:textId="77777777" w:rsidR="00367936" w:rsidRDefault="00367936" w:rsidP="00C87835">
            <w:pPr>
              <w:rPr>
                <w:rFonts w:ascii="Roboto" w:hAnsi="Roboto"/>
                <w:sz w:val="20"/>
                <w:szCs w:val="20"/>
              </w:rPr>
            </w:pPr>
          </w:p>
        </w:tc>
        <w:tc>
          <w:tcPr>
            <w:tcW w:w="3955" w:type="dxa"/>
          </w:tcPr>
          <w:p w14:paraId="4ACA8B41" w14:textId="77777777" w:rsidR="00367936" w:rsidRDefault="00367936" w:rsidP="00C87835">
            <w:pPr>
              <w:autoSpaceDE w:val="0"/>
              <w:autoSpaceDN w:val="0"/>
              <w:adjustRightInd w:val="0"/>
              <w:spacing w:before="200"/>
              <w:rPr>
                <w:rFonts w:ascii="Roboto" w:hAnsi="Roboto" w:cs="Calibri"/>
                <w:i/>
                <w:iCs/>
                <w:sz w:val="20"/>
                <w:szCs w:val="20"/>
              </w:rPr>
            </w:pPr>
            <w:r w:rsidRPr="0087258B">
              <w:rPr>
                <w:rFonts w:ascii="Roboto" w:hAnsi="Roboto" w:cs="Calibri"/>
                <w:i/>
                <w:iCs/>
                <w:sz w:val="20"/>
                <w:szCs w:val="20"/>
              </w:rPr>
              <w:lastRenderedPageBreak/>
              <w:t>In Progress</w:t>
            </w:r>
          </w:p>
          <w:p w14:paraId="3F3DC3D0" w14:textId="574D1A92" w:rsidR="006527FF" w:rsidRPr="006527FF" w:rsidRDefault="006527FF" w:rsidP="00C87835">
            <w:pPr>
              <w:autoSpaceDE w:val="0"/>
              <w:autoSpaceDN w:val="0"/>
              <w:adjustRightInd w:val="0"/>
              <w:spacing w:before="200"/>
              <w:rPr>
                <w:rFonts w:ascii="Roboto" w:hAnsi="Roboto" w:cs="Calibri"/>
                <w:b/>
                <w:bCs/>
                <w:i/>
                <w:iCs/>
                <w:color w:val="000000"/>
                <w:sz w:val="20"/>
                <w:szCs w:val="20"/>
              </w:rPr>
            </w:pPr>
            <w:r w:rsidRPr="006527FF">
              <w:rPr>
                <w:rFonts w:ascii="Helvetica" w:hAnsi="Helvetica" w:cs="Calibri"/>
                <w:i/>
                <w:iCs/>
                <w:sz w:val="20"/>
                <w:szCs w:val="20"/>
              </w:rPr>
              <w:lastRenderedPageBreak/>
              <w:t>Academic Advising and Career Services are building an online dashboard to track engagement and re-enrollment status. They are also exploring other ways to present the First Five, including digital campaigns, tear sheets and embedding the class sequences into the digital catalog</w:t>
            </w:r>
          </w:p>
        </w:tc>
      </w:tr>
    </w:tbl>
    <w:p w14:paraId="40CE8745" w14:textId="77777777" w:rsidR="00367936" w:rsidRPr="00AC2092" w:rsidRDefault="00367936" w:rsidP="00367936">
      <w:pPr>
        <w:rPr>
          <w:rFonts w:ascii="Roboto" w:hAnsi="Roboto"/>
          <w:sz w:val="20"/>
          <w:szCs w:val="20"/>
        </w:rPr>
      </w:pPr>
    </w:p>
    <w:p w14:paraId="4E2841D3" w14:textId="0E5AE55B" w:rsidR="00367936" w:rsidRDefault="00367936" w:rsidP="006527FF">
      <w:pPr>
        <w:jc w:val="center"/>
        <w:rPr>
          <w:rFonts w:ascii="Roboto" w:hAnsi="Roboto"/>
          <w:b/>
          <w:bCs/>
          <w:sz w:val="20"/>
          <w:szCs w:val="20"/>
        </w:rPr>
      </w:pPr>
      <w:r w:rsidRPr="000B52B4">
        <w:rPr>
          <w:rFonts w:ascii="Roboto" w:hAnsi="Roboto"/>
          <w:b/>
          <w:bCs/>
          <w:sz w:val="20"/>
          <w:szCs w:val="20"/>
        </w:rPr>
        <w:t>Enhanc</w:t>
      </w:r>
      <w:r>
        <w:rPr>
          <w:rFonts w:ascii="Roboto" w:hAnsi="Roboto"/>
          <w:b/>
          <w:bCs/>
          <w:sz w:val="20"/>
          <w:szCs w:val="20"/>
        </w:rPr>
        <w:t>ing</w:t>
      </w:r>
      <w:r w:rsidRPr="000B52B4">
        <w:rPr>
          <w:rFonts w:ascii="Roboto" w:hAnsi="Roboto"/>
          <w:b/>
          <w:bCs/>
          <w:sz w:val="20"/>
          <w:szCs w:val="20"/>
        </w:rPr>
        <w:t xml:space="preserve"> Learning</w:t>
      </w:r>
    </w:p>
    <w:p w14:paraId="501D7DA5" w14:textId="77777777" w:rsidR="006527FF" w:rsidRDefault="006527FF" w:rsidP="00367936">
      <w:pPr>
        <w:rPr>
          <w:rFonts w:ascii="Roboto" w:hAnsi="Roboto"/>
          <w:b/>
          <w:bC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3955"/>
      </w:tblGrid>
      <w:tr w:rsidR="00367936" w14:paraId="10886727" w14:textId="77777777" w:rsidTr="00C87835">
        <w:tc>
          <w:tcPr>
            <w:tcW w:w="5395" w:type="dxa"/>
            <w:tcBorders>
              <w:top w:val="single" w:sz="4" w:space="0" w:color="auto"/>
              <w:bottom w:val="single" w:sz="4" w:space="0" w:color="auto"/>
            </w:tcBorders>
          </w:tcPr>
          <w:p w14:paraId="79721ABC" w14:textId="77777777" w:rsidR="00367936" w:rsidRDefault="00367936" w:rsidP="00C87835">
            <w:pPr>
              <w:rPr>
                <w:rFonts w:ascii="Roboto" w:hAnsi="Roboto"/>
                <w:sz w:val="20"/>
                <w:szCs w:val="20"/>
              </w:rPr>
            </w:pPr>
            <w:r>
              <w:rPr>
                <w:rFonts w:ascii="Roboto" w:hAnsi="Roboto"/>
                <w:sz w:val="20"/>
                <w:szCs w:val="20"/>
              </w:rPr>
              <w:t>Pathways Component</w:t>
            </w:r>
          </w:p>
        </w:tc>
        <w:tc>
          <w:tcPr>
            <w:tcW w:w="3955" w:type="dxa"/>
            <w:tcBorders>
              <w:top w:val="single" w:sz="4" w:space="0" w:color="auto"/>
              <w:bottom w:val="single" w:sz="4" w:space="0" w:color="auto"/>
            </w:tcBorders>
          </w:tcPr>
          <w:p w14:paraId="29788B65" w14:textId="77777777" w:rsidR="00367936" w:rsidRDefault="00367936" w:rsidP="00C87835">
            <w:pPr>
              <w:rPr>
                <w:rFonts w:ascii="Roboto" w:hAnsi="Roboto"/>
                <w:sz w:val="20"/>
                <w:szCs w:val="20"/>
              </w:rPr>
            </w:pPr>
            <w:r>
              <w:rPr>
                <w:rFonts w:ascii="Roboto" w:hAnsi="Roboto"/>
                <w:sz w:val="20"/>
                <w:szCs w:val="20"/>
              </w:rPr>
              <w:t>Status</w:t>
            </w:r>
          </w:p>
        </w:tc>
      </w:tr>
      <w:tr w:rsidR="00367936" w14:paraId="795CAE1A" w14:textId="77777777" w:rsidTr="00C87835">
        <w:tc>
          <w:tcPr>
            <w:tcW w:w="5395" w:type="dxa"/>
            <w:tcBorders>
              <w:top w:val="single" w:sz="4" w:space="0" w:color="auto"/>
            </w:tcBorders>
          </w:tcPr>
          <w:p w14:paraId="5BEA0541" w14:textId="77777777" w:rsidR="00367936" w:rsidRDefault="00367936" w:rsidP="00C87835">
            <w:pPr>
              <w:autoSpaceDE w:val="0"/>
              <w:autoSpaceDN w:val="0"/>
              <w:adjustRightInd w:val="0"/>
              <w:spacing w:before="200" w:after="120"/>
              <w:rPr>
                <w:rFonts w:ascii="Roboto" w:hAnsi="Roboto"/>
                <w:sz w:val="20"/>
                <w:szCs w:val="20"/>
              </w:rPr>
            </w:pPr>
            <w:r w:rsidRPr="0087258B">
              <w:rPr>
                <w:rFonts w:ascii="Roboto" w:hAnsi="Roboto"/>
                <w:sz w:val="20"/>
                <w:szCs w:val="20"/>
              </w:rPr>
              <w:t>The g</w:t>
            </w:r>
            <w:r w:rsidRPr="0087258B">
              <w:rPr>
                <w:rFonts w:ascii="Roboto" w:hAnsi="Roboto" w:cs="Calibri"/>
                <w:sz w:val="20"/>
                <w:szCs w:val="20"/>
              </w:rPr>
              <w:t xml:space="preserve">eneral studies degree will phase out. In its place, students will select among the eight </w:t>
            </w:r>
            <w:r>
              <w:rPr>
                <w:rFonts w:ascii="Roboto" w:hAnsi="Roboto" w:cs="Calibri"/>
                <w:sz w:val="20"/>
                <w:szCs w:val="20"/>
              </w:rPr>
              <w:t>areas of study</w:t>
            </w:r>
            <w:r w:rsidRPr="0087258B">
              <w:rPr>
                <w:rFonts w:ascii="Roboto" w:hAnsi="Roboto" w:cs="Calibri"/>
                <w:sz w:val="20"/>
                <w:szCs w:val="20"/>
              </w:rPr>
              <w:t xml:space="preserve">. Each </w:t>
            </w:r>
            <w:r>
              <w:rPr>
                <w:rFonts w:ascii="Roboto" w:hAnsi="Roboto" w:cs="Calibri"/>
                <w:sz w:val="20"/>
                <w:szCs w:val="20"/>
              </w:rPr>
              <w:t>area of study</w:t>
            </w:r>
            <w:r w:rsidRPr="0087258B">
              <w:rPr>
                <w:rFonts w:ascii="Roboto" w:hAnsi="Roboto" w:cs="Calibri"/>
                <w:sz w:val="20"/>
                <w:szCs w:val="20"/>
              </w:rPr>
              <w:t xml:space="preserve"> will have a default first-year course sequence (equaling between 28 to 34 credits). </w:t>
            </w:r>
          </w:p>
        </w:tc>
        <w:tc>
          <w:tcPr>
            <w:tcW w:w="3955" w:type="dxa"/>
            <w:tcBorders>
              <w:top w:val="single" w:sz="4" w:space="0" w:color="auto"/>
            </w:tcBorders>
          </w:tcPr>
          <w:p w14:paraId="3BD87065" w14:textId="77777777" w:rsidR="00367936" w:rsidRDefault="00367936" w:rsidP="00C87835">
            <w:pPr>
              <w:autoSpaceDE w:val="0"/>
              <w:autoSpaceDN w:val="0"/>
              <w:adjustRightInd w:val="0"/>
              <w:spacing w:before="200" w:after="120"/>
              <w:rPr>
                <w:rFonts w:ascii="Roboto" w:hAnsi="Roboto"/>
                <w:sz w:val="20"/>
                <w:szCs w:val="20"/>
              </w:rPr>
            </w:pPr>
            <w:r w:rsidRPr="0087258B">
              <w:rPr>
                <w:rFonts w:ascii="Roboto" w:hAnsi="Roboto" w:cs="Calibri"/>
                <w:i/>
                <w:iCs/>
                <w:sz w:val="20"/>
                <w:szCs w:val="20"/>
              </w:rPr>
              <w:t xml:space="preserve">Phase I Complete. </w:t>
            </w:r>
            <w:r>
              <w:rPr>
                <w:rFonts w:ascii="Roboto" w:hAnsi="Roboto" w:cs="Calibri"/>
                <w:i/>
                <w:iCs/>
                <w:sz w:val="20"/>
                <w:szCs w:val="20"/>
              </w:rPr>
              <w:t>General studies</w:t>
            </w:r>
            <w:r w:rsidRPr="0087258B">
              <w:rPr>
                <w:rFonts w:ascii="Roboto" w:hAnsi="Roboto" w:cs="Calibri"/>
                <w:i/>
                <w:iCs/>
                <w:sz w:val="20"/>
                <w:szCs w:val="20"/>
              </w:rPr>
              <w:t xml:space="preserve"> students are now organized into eight areas of study (using current GS degree placeholders) and advised into a first set of courses (first 15). </w:t>
            </w:r>
          </w:p>
        </w:tc>
      </w:tr>
      <w:tr w:rsidR="00367936" w14:paraId="0CE2D651" w14:textId="77777777" w:rsidTr="00C87835">
        <w:trPr>
          <w:trHeight w:val="1610"/>
        </w:trPr>
        <w:tc>
          <w:tcPr>
            <w:tcW w:w="5395" w:type="dxa"/>
          </w:tcPr>
          <w:p w14:paraId="73900C5C" w14:textId="40F149E8" w:rsidR="00367936" w:rsidRDefault="00367936" w:rsidP="00C87835">
            <w:pPr>
              <w:autoSpaceDE w:val="0"/>
              <w:autoSpaceDN w:val="0"/>
              <w:adjustRightInd w:val="0"/>
              <w:spacing w:before="200" w:after="120"/>
              <w:rPr>
                <w:rFonts w:ascii="Roboto" w:hAnsi="Roboto"/>
                <w:sz w:val="20"/>
                <w:szCs w:val="20"/>
              </w:rPr>
            </w:pPr>
            <w:r>
              <w:rPr>
                <w:rFonts w:ascii="Roboto" w:hAnsi="Roboto" w:cs="Calibri"/>
                <w:sz w:val="20"/>
                <w:szCs w:val="20"/>
              </w:rPr>
              <w:t>R</w:t>
            </w:r>
            <w:r w:rsidRPr="0087258B">
              <w:rPr>
                <w:rFonts w:ascii="Roboto" w:hAnsi="Roboto" w:cs="Calibri"/>
                <w:sz w:val="20"/>
                <w:szCs w:val="20"/>
              </w:rPr>
              <w:t xml:space="preserve">edesign existing degree programs to the new first-year course sequences to provide efficient curricular routes to completion and transfer. </w:t>
            </w:r>
            <w:r w:rsidRPr="0087258B">
              <w:rPr>
                <w:rFonts w:ascii="Roboto" w:hAnsi="Roboto"/>
                <w:sz w:val="20"/>
                <w:szCs w:val="20"/>
              </w:rPr>
              <w:t xml:space="preserve">Students will have the option of creating an intentional </w:t>
            </w:r>
            <w:r>
              <w:rPr>
                <w:rFonts w:ascii="Roboto" w:hAnsi="Roboto"/>
                <w:sz w:val="20"/>
                <w:szCs w:val="20"/>
              </w:rPr>
              <w:t>interdisciplinary</w:t>
            </w:r>
            <w:r w:rsidRPr="0087258B">
              <w:rPr>
                <w:rFonts w:ascii="Roboto" w:hAnsi="Roboto"/>
                <w:sz w:val="20"/>
                <w:szCs w:val="20"/>
              </w:rPr>
              <w:t xml:space="preserve"> studies degree but they would need to do so with an advisor.</w:t>
            </w:r>
          </w:p>
        </w:tc>
        <w:tc>
          <w:tcPr>
            <w:tcW w:w="3955" w:type="dxa"/>
          </w:tcPr>
          <w:p w14:paraId="78371B6E" w14:textId="77777777" w:rsidR="00367936" w:rsidRPr="0087258B" w:rsidRDefault="00367936" w:rsidP="00C87835">
            <w:pPr>
              <w:autoSpaceDE w:val="0"/>
              <w:autoSpaceDN w:val="0"/>
              <w:adjustRightInd w:val="0"/>
              <w:spacing w:before="200" w:after="120"/>
              <w:rPr>
                <w:rFonts w:ascii="Roboto" w:hAnsi="Roboto"/>
                <w:i/>
                <w:iCs/>
                <w:sz w:val="20"/>
                <w:szCs w:val="20"/>
              </w:rPr>
            </w:pPr>
            <w:r w:rsidRPr="0087258B">
              <w:rPr>
                <w:rFonts w:ascii="Roboto" w:hAnsi="Roboto"/>
                <w:i/>
                <w:iCs/>
                <w:sz w:val="20"/>
                <w:szCs w:val="20"/>
              </w:rPr>
              <w:t xml:space="preserve">In Progress. This work is just beginning with the area of study design teams. Interdisciplinary degree has been created and has first students. </w:t>
            </w:r>
          </w:p>
          <w:p w14:paraId="75244E75" w14:textId="77777777" w:rsidR="00367936" w:rsidRDefault="00367936" w:rsidP="00C87835">
            <w:pPr>
              <w:rPr>
                <w:rFonts w:ascii="Roboto" w:hAnsi="Roboto"/>
                <w:sz w:val="20"/>
                <w:szCs w:val="20"/>
              </w:rPr>
            </w:pPr>
          </w:p>
        </w:tc>
      </w:tr>
      <w:tr w:rsidR="00367936" w14:paraId="5CAB5077" w14:textId="77777777" w:rsidTr="00C87835">
        <w:tc>
          <w:tcPr>
            <w:tcW w:w="5395" w:type="dxa"/>
          </w:tcPr>
          <w:p w14:paraId="7544A5FB" w14:textId="77777777" w:rsidR="00367936" w:rsidRPr="0087258B" w:rsidRDefault="00367936" w:rsidP="00C87835">
            <w:pPr>
              <w:spacing w:before="200" w:after="120"/>
              <w:rPr>
                <w:rFonts w:ascii="Roboto" w:hAnsi="Roboto"/>
                <w:sz w:val="20"/>
                <w:szCs w:val="20"/>
              </w:rPr>
            </w:pPr>
            <w:r w:rsidRPr="0087258B">
              <w:rPr>
                <w:rFonts w:ascii="Roboto" w:hAnsi="Roboto"/>
                <w:color w:val="000000"/>
                <w:sz w:val="20"/>
                <w:szCs w:val="20"/>
              </w:rPr>
              <w:t>Faculty and academic leadership will advance the conversation about ways we </w:t>
            </w:r>
            <w:r w:rsidRPr="0087258B">
              <w:rPr>
                <w:rFonts w:ascii="Roboto" w:hAnsi="Roboto"/>
                <w:sz w:val="20"/>
                <w:szCs w:val="20"/>
              </w:rPr>
              <w:t>build the knowledge and skills to design course and program curricula that motivate more students to persist longer at academic tasks alongside academic content.  We encourage the “learner facilitation” models of instruction, where appropriate, be a key part of curriculum redesign.</w:t>
            </w:r>
            <w:r w:rsidRPr="00957F17">
              <w:rPr>
                <w:rStyle w:val="FootnoteReference"/>
                <w:rFonts w:ascii="Roboto" w:hAnsi="Roboto"/>
              </w:rPr>
              <w:footnoteReference w:id="2"/>
            </w:r>
            <w:r w:rsidRPr="0087258B">
              <w:rPr>
                <w:rFonts w:ascii="Roboto" w:hAnsi="Roboto"/>
                <w:sz w:val="20"/>
                <w:szCs w:val="20"/>
              </w:rPr>
              <w:t xml:space="preserve"> </w:t>
            </w:r>
          </w:p>
        </w:tc>
        <w:tc>
          <w:tcPr>
            <w:tcW w:w="3955" w:type="dxa"/>
          </w:tcPr>
          <w:p w14:paraId="65A0961A" w14:textId="0E5B94E7" w:rsidR="00367936" w:rsidRPr="0087258B" w:rsidRDefault="00367936" w:rsidP="00C87835">
            <w:pPr>
              <w:spacing w:before="200" w:after="240"/>
              <w:rPr>
                <w:rFonts w:ascii="Roboto" w:hAnsi="Roboto"/>
                <w:i/>
                <w:iCs/>
                <w:sz w:val="20"/>
                <w:szCs w:val="20"/>
              </w:rPr>
            </w:pPr>
            <w:r w:rsidRPr="0087258B">
              <w:rPr>
                <w:rFonts w:ascii="Roboto" w:hAnsi="Roboto"/>
                <w:i/>
                <w:iCs/>
                <w:sz w:val="20"/>
                <w:szCs w:val="20"/>
              </w:rPr>
              <w:t xml:space="preserve">In Progress. Faculty and academic administrators have adopted the key principles to guide this effort with the </w:t>
            </w:r>
            <w:hyperlink r:id="rId8" w:history="1">
              <w:r w:rsidRPr="009527EF">
                <w:rPr>
                  <w:rStyle w:val="Hyperlink"/>
                  <w:rFonts w:ascii="Roboto" w:hAnsi="Roboto"/>
                  <w:i/>
                  <w:iCs/>
                  <w:sz w:val="20"/>
                  <w:szCs w:val="20"/>
                </w:rPr>
                <w:t>“Engagement by Design” principles</w:t>
              </w:r>
            </w:hyperlink>
            <w:r w:rsidRPr="0087258B">
              <w:rPr>
                <w:rFonts w:ascii="Roboto" w:hAnsi="Roboto"/>
                <w:i/>
                <w:iCs/>
                <w:sz w:val="20"/>
                <w:szCs w:val="20"/>
              </w:rPr>
              <w:t xml:space="preserve">. The CWT is working on integrating this into an initial course first and then into the larger area of study.  </w:t>
            </w:r>
          </w:p>
        </w:tc>
      </w:tr>
      <w:tr w:rsidR="00367936" w14:paraId="44AFFD31" w14:textId="77777777" w:rsidTr="00C87835">
        <w:tc>
          <w:tcPr>
            <w:tcW w:w="5395" w:type="dxa"/>
          </w:tcPr>
          <w:p w14:paraId="333ACA16" w14:textId="77777777" w:rsidR="00367936" w:rsidRPr="00114008" w:rsidRDefault="00367936" w:rsidP="00C87835">
            <w:pPr>
              <w:pStyle w:val="NormalWeb"/>
              <w:spacing w:before="200" w:beforeAutospacing="0" w:after="60" w:afterAutospacing="0"/>
              <w:rPr>
                <w:rFonts w:ascii="Roboto" w:hAnsi="Roboto" w:cstheme="minorBidi"/>
                <w:sz w:val="20"/>
                <w:szCs w:val="20"/>
              </w:rPr>
            </w:pPr>
            <w:r w:rsidRPr="00114008">
              <w:rPr>
                <w:rFonts w:ascii="Roboto" w:hAnsi="Roboto" w:cstheme="minorBidi"/>
                <w:sz w:val="20"/>
                <w:szCs w:val="20"/>
              </w:rPr>
              <w:t xml:space="preserve">Each area of study will collaboratively design a guiding framework detailing the area of study’s approach to curriculum, instruction, learning climate, and assessment. The framework includes the following elements for both the common first-year sequence and the program-specific coursework: </w:t>
            </w:r>
          </w:p>
          <w:p w14:paraId="71677433" w14:textId="77777777" w:rsidR="00367936" w:rsidRPr="00114008" w:rsidRDefault="00367936" w:rsidP="00C87835">
            <w:pPr>
              <w:pStyle w:val="NormalWeb"/>
              <w:spacing w:before="0" w:beforeAutospacing="0"/>
              <w:ind w:left="605"/>
              <w:rPr>
                <w:rFonts w:ascii="Roboto" w:hAnsi="Roboto" w:cstheme="minorBidi"/>
                <w:sz w:val="20"/>
                <w:szCs w:val="20"/>
              </w:rPr>
            </w:pPr>
            <w:r w:rsidRPr="00114008">
              <w:rPr>
                <w:rFonts w:ascii="Roboto" w:hAnsi="Roboto" w:cstheme="minorBidi"/>
                <w:sz w:val="20"/>
                <w:szCs w:val="20"/>
              </w:rPr>
              <w:t xml:space="preserve">1. The skills, concepts, and habits of mind attained by each program’s graduates aligned with transfer and/or industry partner expectations; </w:t>
            </w:r>
          </w:p>
          <w:p w14:paraId="28E1A9F0" w14:textId="77777777" w:rsidR="00367936" w:rsidRPr="00114008" w:rsidRDefault="00367936" w:rsidP="00C87835">
            <w:pPr>
              <w:pStyle w:val="NormalWeb"/>
              <w:ind w:left="608"/>
              <w:rPr>
                <w:rFonts w:ascii="Roboto" w:hAnsi="Roboto" w:cstheme="minorBidi"/>
                <w:sz w:val="20"/>
                <w:szCs w:val="20"/>
              </w:rPr>
            </w:pPr>
            <w:r w:rsidRPr="00114008">
              <w:rPr>
                <w:rFonts w:ascii="Roboto" w:hAnsi="Roboto" w:cstheme="minorBidi"/>
                <w:sz w:val="20"/>
                <w:szCs w:val="20"/>
              </w:rPr>
              <w:t xml:space="preserve">2. Where and how each skill, concept, and habit of mind is first introduced as well as how each will be developed throughout the area of study and program; </w:t>
            </w:r>
          </w:p>
          <w:p w14:paraId="744114C1" w14:textId="77777777" w:rsidR="00367936" w:rsidRPr="00114008" w:rsidRDefault="00367936" w:rsidP="00C87835">
            <w:pPr>
              <w:pStyle w:val="NormalWeb"/>
              <w:ind w:left="608"/>
              <w:rPr>
                <w:rFonts w:ascii="Roboto" w:hAnsi="Roboto" w:cstheme="minorBidi"/>
                <w:sz w:val="20"/>
                <w:szCs w:val="20"/>
              </w:rPr>
            </w:pPr>
            <w:r w:rsidRPr="00114008">
              <w:rPr>
                <w:rFonts w:ascii="Roboto" w:hAnsi="Roboto" w:cstheme="minorBidi"/>
                <w:sz w:val="20"/>
                <w:szCs w:val="20"/>
              </w:rPr>
              <w:lastRenderedPageBreak/>
              <w:t xml:space="preserve">3. How related supporting services, high-impact and inclusive teaching practices, co-curricular opportunities, and the case management intrusive advising milestones are integrated into area of study and program design to support and promote the integrated learning of the identified skills, concepts, and habits of mind; </w:t>
            </w:r>
          </w:p>
          <w:p w14:paraId="7FC635A2" w14:textId="77777777" w:rsidR="00367936" w:rsidRPr="00114008" w:rsidRDefault="00367936" w:rsidP="00C87835">
            <w:pPr>
              <w:pStyle w:val="NormalWeb"/>
              <w:ind w:left="608"/>
              <w:rPr>
                <w:rFonts w:ascii="Roboto" w:hAnsi="Roboto" w:cstheme="minorBidi"/>
                <w:sz w:val="20"/>
                <w:szCs w:val="20"/>
              </w:rPr>
            </w:pPr>
            <w:r w:rsidRPr="00114008">
              <w:rPr>
                <w:rFonts w:ascii="Roboto" w:hAnsi="Roboto" w:cstheme="minorBidi"/>
                <w:sz w:val="20"/>
                <w:szCs w:val="20"/>
              </w:rPr>
              <w:t xml:space="preserve">4. How the area of study and programs will cultivate a positive learning climate including specific practices and behaviors that faculty and staff will adopt to support the identified skills, concepts, and habits of mind; and </w:t>
            </w:r>
          </w:p>
          <w:p w14:paraId="72047C10" w14:textId="77777777" w:rsidR="00367936" w:rsidRDefault="00367936" w:rsidP="00C87835">
            <w:pPr>
              <w:pStyle w:val="NormalWeb"/>
              <w:spacing w:after="120" w:afterAutospacing="0"/>
              <w:ind w:left="605"/>
              <w:rPr>
                <w:rFonts w:ascii="Roboto" w:hAnsi="Roboto"/>
                <w:sz w:val="20"/>
                <w:szCs w:val="20"/>
              </w:rPr>
            </w:pPr>
            <w:r w:rsidRPr="00114008">
              <w:rPr>
                <w:rFonts w:ascii="Roboto" w:hAnsi="Roboto" w:cstheme="minorBidi"/>
                <w:sz w:val="20"/>
                <w:szCs w:val="20"/>
              </w:rPr>
              <w:t>5. How faculty assess student learning, instructor teaching, and overall learning climate to ensure students are learning and are well prepared for transfer or employment.</w:t>
            </w:r>
          </w:p>
        </w:tc>
        <w:tc>
          <w:tcPr>
            <w:tcW w:w="3955" w:type="dxa"/>
          </w:tcPr>
          <w:p w14:paraId="2F716328" w14:textId="0A94A6F7" w:rsidR="005B3C0C" w:rsidRDefault="00367936" w:rsidP="005B3C0C">
            <w:pPr>
              <w:rPr>
                <w:rFonts w:ascii="Roboto" w:hAnsi="Roboto"/>
                <w:i/>
                <w:iCs/>
                <w:sz w:val="20"/>
                <w:szCs w:val="20"/>
              </w:rPr>
            </w:pPr>
            <w:r w:rsidRPr="0087258B">
              <w:rPr>
                <w:rFonts w:ascii="Roboto" w:hAnsi="Roboto"/>
                <w:i/>
                <w:iCs/>
                <w:sz w:val="20"/>
                <w:szCs w:val="20"/>
              </w:rPr>
              <w:lastRenderedPageBreak/>
              <w:t xml:space="preserve">In Progress. The framework has been designed by a group of faculty. The </w:t>
            </w:r>
            <w:r>
              <w:rPr>
                <w:rFonts w:ascii="Roboto" w:hAnsi="Roboto"/>
                <w:i/>
                <w:iCs/>
                <w:sz w:val="20"/>
                <w:szCs w:val="20"/>
              </w:rPr>
              <w:t xml:space="preserve">current </w:t>
            </w:r>
            <w:r w:rsidRPr="0087258B">
              <w:rPr>
                <w:rFonts w:ascii="Roboto" w:hAnsi="Roboto"/>
                <w:i/>
                <w:iCs/>
                <w:sz w:val="20"/>
                <w:szCs w:val="20"/>
              </w:rPr>
              <w:t>CWT</w:t>
            </w:r>
            <w:r w:rsidR="005B3C0C">
              <w:rPr>
                <w:rFonts w:ascii="Roboto" w:hAnsi="Roboto"/>
                <w:i/>
                <w:iCs/>
                <w:sz w:val="20"/>
                <w:szCs w:val="20"/>
              </w:rPr>
              <w:t xml:space="preserve">, comprised of subcommittees across the college and led by Katerina </w:t>
            </w:r>
            <w:proofErr w:type="spellStart"/>
            <w:r w:rsidR="005B3C0C">
              <w:rPr>
                <w:rFonts w:ascii="Roboto" w:hAnsi="Roboto"/>
                <w:i/>
                <w:iCs/>
                <w:sz w:val="20"/>
                <w:szCs w:val="20"/>
              </w:rPr>
              <w:t>Salini</w:t>
            </w:r>
            <w:proofErr w:type="spellEnd"/>
            <w:r w:rsidR="005B3C0C">
              <w:rPr>
                <w:rFonts w:ascii="Roboto" w:hAnsi="Roboto"/>
                <w:i/>
                <w:iCs/>
                <w:sz w:val="20"/>
                <w:szCs w:val="20"/>
              </w:rPr>
              <w:t xml:space="preserve">, Faculty Senate President and Professor of Psychology and Kathryn Kay </w:t>
            </w:r>
            <w:proofErr w:type="spellStart"/>
            <w:r w:rsidR="005B3C0C">
              <w:rPr>
                <w:rFonts w:ascii="Roboto" w:hAnsi="Roboto"/>
                <w:i/>
                <w:iCs/>
                <w:sz w:val="20"/>
                <w:szCs w:val="20"/>
              </w:rPr>
              <w:t>Coquemont</w:t>
            </w:r>
            <w:proofErr w:type="spellEnd"/>
            <w:r w:rsidR="005B3C0C">
              <w:rPr>
                <w:rFonts w:ascii="Roboto" w:hAnsi="Roboto"/>
                <w:i/>
                <w:iCs/>
                <w:sz w:val="20"/>
                <w:szCs w:val="20"/>
              </w:rPr>
              <w:t xml:space="preserve">, AVP for Student Success, </w:t>
            </w:r>
            <w:r w:rsidRPr="0087258B">
              <w:rPr>
                <w:rFonts w:ascii="Roboto" w:hAnsi="Roboto"/>
                <w:i/>
                <w:iCs/>
                <w:sz w:val="20"/>
                <w:szCs w:val="20"/>
              </w:rPr>
              <w:t xml:space="preserve">is developing a process of taking this to scale across the college. </w:t>
            </w:r>
          </w:p>
          <w:p w14:paraId="10DC18C8" w14:textId="77777777" w:rsidR="005B3C0C" w:rsidRDefault="005B3C0C" w:rsidP="005B3C0C">
            <w:pPr>
              <w:rPr>
                <w:rFonts w:ascii="Helvetica" w:hAnsi="Helvetica"/>
                <w:i/>
                <w:iCs/>
              </w:rPr>
            </w:pPr>
          </w:p>
          <w:p w14:paraId="31186787" w14:textId="7E5F48B4" w:rsidR="00367936" w:rsidRPr="0087258B" w:rsidRDefault="00367936" w:rsidP="00C87835">
            <w:pPr>
              <w:spacing w:before="240" w:after="120"/>
              <w:rPr>
                <w:rFonts w:ascii="Roboto" w:hAnsi="Roboto"/>
                <w:i/>
                <w:iCs/>
                <w:sz w:val="20"/>
                <w:szCs w:val="20"/>
              </w:rPr>
            </w:pPr>
          </w:p>
          <w:p w14:paraId="1048674F" w14:textId="77777777" w:rsidR="00367936" w:rsidRDefault="00367936" w:rsidP="00C87835">
            <w:pPr>
              <w:rPr>
                <w:rFonts w:ascii="Roboto" w:hAnsi="Roboto"/>
                <w:sz w:val="20"/>
                <w:szCs w:val="20"/>
              </w:rPr>
            </w:pPr>
          </w:p>
        </w:tc>
        <w:bookmarkStart w:id="0" w:name="_GoBack"/>
        <w:bookmarkEnd w:id="0"/>
      </w:tr>
      <w:tr w:rsidR="00367936" w14:paraId="38FA97EB" w14:textId="77777777" w:rsidTr="00C87835">
        <w:tc>
          <w:tcPr>
            <w:tcW w:w="5395" w:type="dxa"/>
          </w:tcPr>
          <w:p w14:paraId="2E91232F" w14:textId="77777777" w:rsidR="00367936" w:rsidRDefault="00367936" w:rsidP="00C87835">
            <w:pPr>
              <w:pStyle w:val="Default"/>
              <w:spacing w:before="200"/>
              <w:rPr>
                <w:rFonts w:ascii="Roboto" w:hAnsi="Roboto"/>
                <w:sz w:val="20"/>
                <w:szCs w:val="20"/>
              </w:rPr>
            </w:pPr>
            <w:r w:rsidRPr="000C36BC">
              <w:rPr>
                <w:rFonts w:ascii="Roboto" w:hAnsi="Roboto" w:cs="Times New Roman"/>
                <w:color w:val="auto"/>
                <w:sz w:val="20"/>
                <w:szCs w:val="20"/>
              </w:rPr>
              <w:t xml:space="preserve">Each </w:t>
            </w:r>
            <w:r>
              <w:rPr>
                <w:rFonts w:ascii="Roboto" w:hAnsi="Roboto" w:cs="Times New Roman"/>
                <w:color w:val="auto"/>
                <w:sz w:val="20"/>
                <w:szCs w:val="20"/>
              </w:rPr>
              <w:t>area of study</w:t>
            </w:r>
            <w:r w:rsidRPr="000C36BC">
              <w:rPr>
                <w:rFonts w:ascii="Roboto" w:hAnsi="Roboto" w:cs="Times New Roman"/>
                <w:color w:val="auto"/>
                <w:sz w:val="20"/>
                <w:szCs w:val="20"/>
              </w:rPr>
              <w:t xml:space="preserve"> will have a default set of courses and sequencing. The design will need to accommodate students who only take a single course in a semester. </w:t>
            </w:r>
          </w:p>
        </w:tc>
        <w:tc>
          <w:tcPr>
            <w:tcW w:w="3955" w:type="dxa"/>
          </w:tcPr>
          <w:p w14:paraId="10FF8883" w14:textId="28325C73" w:rsidR="00367936" w:rsidRPr="0057240D" w:rsidRDefault="00367936" w:rsidP="00C87835">
            <w:pPr>
              <w:pStyle w:val="Default"/>
              <w:spacing w:before="200"/>
              <w:rPr>
                <w:rFonts w:ascii="Roboto" w:hAnsi="Roboto" w:cs="Times New Roman"/>
                <w:i/>
                <w:iCs/>
                <w:color w:val="auto"/>
                <w:sz w:val="20"/>
                <w:szCs w:val="20"/>
              </w:rPr>
            </w:pPr>
            <w:r>
              <w:rPr>
                <w:rFonts w:ascii="Roboto" w:hAnsi="Roboto" w:cs="Times New Roman"/>
                <w:i/>
                <w:iCs/>
                <w:color w:val="auto"/>
                <w:sz w:val="20"/>
                <w:szCs w:val="20"/>
              </w:rPr>
              <w:t>Initial Complete</w:t>
            </w:r>
            <w:r w:rsidR="005B3C0C">
              <w:rPr>
                <w:rFonts w:ascii="Roboto" w:hAnsi="Roboto" w:cs="Times New Roman"/>
                <w:i/>
                <w:iCs/>
                <w:color w:val="auto"/>
                <w:sz w:val="20"/>
                <w:szCs w:val="20"/>
              </w:rPr>
              <w:t xml:space="preserve"> with more work in progress</w:t>
            </w:r>
            <w:r>
              <w:rPr>
                <w:rFonts w:ascii="Roboto" w:hAnsi="Roboto" w:cs="Times New Roman"/>
                <w:i/>
                <w:iCs/>
                <w:color w:val="auto"/>
                <w:sz w:val="20"/>
                <w:szCs w:val="20"/>
              </w:rPr>
              <w:t xml:space="preserve">. </w:t>
            </w:r>
            <w:r w:rsidR="006F2E00">
              <w:rPr>
                <w:rFonts w:ascii="Roboto" w:hAnsi="Roboto" w:cs="Times New Roman"/>
                <w:i/>
                <w:iCs/>
                <w:color w:val="auto"/>
                <w:sz w:val="20"/>
                <w:szCs w:val="20"/>
              </w:rPr>
              <w:t>Currently</w:t>
            </w:r>
            <w:r>
              <w:rPr>
                <w:rFonts w:ascii="Roboto" w:hAnsi="Roboto" w:cs="Times New Roman"/>
                <w:i/>
                <w:iCs/>
                <w:color w:val="auto"/>
                <w:sz w:val="20"/>
                <w:szCs w:val="20"/>
              </w:rPr>
              <w:t xml:space="preserve"> assessing the first 15 and how better communicate it to students. We will be looking at requiring courses moving forward. </w:t>
            </w:r>
          </w:p>
          <w:p w14:paraId="3624B32D" w14:textId="77777777" w:rsidR="00367936" w:rsidRDefault="00367936" w:rsidP="00C87835">
            <w:pPr>
              <w:rPr>
                <w:rFonts w:ascii="Roboto" w:hAnsi="Roboto"/>
                <w:sz w:val="20"/>
                <w:szCs w:val="20"/>
              </w:rPr>
            </w:pPr>
          </w:p>
        </w:tc>
      </w:tr>
      <w:tr w:rsidR="00367936" w14:paraId="1FE248B3" w14:textId="77777777" w:rsidTr="00C87835">
        <w:tc>
          <w:tcPr>
            <w:tcW w:w="5395" w:type="dxa"/>
          </w:tcPr>
          <w:p w14:paraId="00A2F2A8" w14:textId="77777777" w:rsidR="00367936" w:rsidRDefault="00367936" w:rsidP="00C87835">
            <w:pPr>
              <w:pStyle w:val="Default"/>
              <w:spacing w:before="200"/>
              <w:rPr>
                <w:rFonts w:ascii="Roboto" w:hAnsi="Roboto" w:cs="Times New Roman"/>
                <w:color w:val="auto"/>
                <w:sz w:val="20"/>
                <w:szCs w:val="20"/>
              </w:rPr>
            </w:pPr>
            <w:r>
              <w:rPr>
                <w:rFonts w:ascii="Roboto" w:hAnsi="Roboto" w:cs="Times New Roman"/>
                <w:color w:val="auto"/>
                <w:sz w:val="20"/>
                <w:szCs w:val="20"/>
              </w:rPr>
              <w:t xml:space="preserve">In addition to a default area of study and program course sequence, general education will also have a defaulted sequence and timing for each first-year area of study. Students, however, will retain full autonomy to opt-out of this default general education sequence and may elect to fulfill the college’s general education requirements through any qualifying course. </w:t>
            </w:r>
          </w:p>
          <w:p w14:paraId="0643DA2C" w14:textId="77777777" w:rsidR="00367936" w:rsidRDefault="00367936" w:rsidP="00C87835">
            <w:pPr>
              <w:rPr>
                <w:rFonts w:ascii="Roboto" w:hAnsi="Roboto"/>
                <w:sz w:val="20"/>
                <w:szCs w:val="20"/>
              </w:rPr>
            </w:pPr>
          </w:p>
        </w:tc>
        <w:tc>
          <w:tcPr>
            <w:tcW w:w="3955" w:type="dxa"/>
          </w:tcPr>
          <w:p w14:paraId="741573DE" w14:textId="77777777" w:rsidR="00367936" w:rsidRPr="0057240D" w:rsidRDefault="00367936" w:rsidP="00C87835">
            <w:pPr>
              <w:pStyle w:val="Default"/>
              <w:spacing w:before="200"/>
              <w:rPr>
                <w:rFonts w:ascii="Roboto" w:hAnsi="Roboto" w:cs="Times New Roman"/>
                <w:i/>
                <w:iCs/>
                <w:color w:val="auto"/>
                <w:sz w:val="20"/>
                <w:szCs w:val="20"/>
              </w:rPr>
            </w:pPr>
            <w:r>
              <w:rPr>
                <w:rFonts w:ascii="Roboto" w:hAnsi="Roboto" w:cs="Times New Roman"/>
                <w:i/>
                <w:iCs/>
                <w:color w:val="auto"/>
                <w:sz w:val="20"/>
                <w:szCs w:val="20"/>
              </w:rPr>
              <w:t>In Progress</w:t>
            </w:r>
          </w:p>
          <w:p w14:paraId="760B0596" w14:textId="77777777" w:rsidR="00367936" w:rsidRDefault="00367936" w:rsidP="00C87835">
            <w:pPr>
              <w:rPr>
                <w:rFonts w:ascii="Roboto" w:hAnsi="Roboto"/>
                <w:sz w:val="20"/>
                <w:szCs w:val="20"/>
              </w:rPr>
            </w:pPr>
          </w:p>
        </w:tc>
      </w:tr>
      <w:tr w:rsidR="00367936" w14:paraId="5F0F495B" w14:textId="77777777" w:rsidTr="00C87835">
        <w:tc>
          <w:tcPr>
            <w:tcW w:w="5395" w:type="dxa"/>
          </w:tcPr>
          <w:p w14:paraId="470BC295" w14:textId="77777777" w:rsidR="00367936" w:rsidRDefault="00367936" w:rsidP="00C87835">
            <w:pPr>
              <w:pStyle w:val="Default"/>
              <w:spacing w:before="200"/>
              <w:rPr>
                <w:rFonts w:ascii="Roboto" w:hAnsi="Roboto" w:cs="Times New Roman"/>
                <w:color w:val="auto"/>
                <w:sz w:val="20"/>
                <w:szCs w:val="20"/>
              </w:rPr>
            </w:pPr>
            <w:r>
              <w:rPr>
                <w:rFonts w:ascii="Roboto" w:hAnsi="Roboto" w:cs="Times New Roman"/>
                <w:color w:val="auto"/>
                <w:sz w:val="20"/>
                <w:szCs w:val="20"/>
              </w:rPr>
              <w:t xml:space="preserve">Faculty and academic administration will be encouraged to critically examine the continued viability and need for existing degree and certificate programs. </w:t>
            </w:r>
          </w:p>
          <w:p w14:paraId="2934B9E1" w14:textId="77777777" w:rsidR="00367936" w:rsidRDefault="00367936" w:rsidP="00C87835">
            <w:pPr>
              <w:pStyle w:val="Default"/>
              <w:spacing w:before="200"/>
              <w:rPr>
                <w:rFonts w:ascii="Roboto" w:hAnsi="Roboto" w:cs="Times New Roman"/>
                <w:color w:val="auto"/>
                <w:sz w:val="20"/>
                <w:szCs w:val="20"/>
              </w:rPr>
            </w:pPr>
            <w:r>
              <w:rPr>
                <w:rFonts w:ascii="Roboto" w:hAnsi="Roboto" w:cs="Times New Roman"/>
                <w:color w:val="auto"/>
                <w:sz w:val="20"/>
                <w:szCs w:val="20"/>
              </w:rPr>
              <w:t>Academic departments are encouraged</w:t>
            </w:r>
            <w:r w:rsidRPr="003A5832">
              <w:rPr>
                <w:rFonts w:ascii="Roboto" w:hAnsi="Roboto" w:cs="Times New Roman"/>
                <w:color w:val="auto"/>
                <w:sz w:val="20"/>
                <w:szCs w:val="20"/>
              </w:rPr>
              <w:t xml:space="preserve"> to redesign the existing programs using </w:t>
            </w:r>
            <w:r>
              <w:rPr>
                <w:rFonts w:ascii="Roboto" w:hAnsi="Roboto" w:cs="Times New Roman"/>
                <w:color w:val="auto"/>
                <w:sz w:val="20"/>
                <w:szCs w:val="20"/>
              </w:rPr>
              <w:t>the engagement by design</w:t>
            </w:r>
            <w:r w:rsidRPr="003A5832">
              <w:rPr>
                <w:rFonts w:ascii="Roboto" w:hAnsi="Roboto" w:cs="Times New Roman"/>
                <w:color w:val="auto"/>
                <w:sz w:val="20"/>
                <w:szCs w:val="20"/>
              </w:rPr>
              <w:t xml:space="preserve"> principles and to create meaningful linkages between the existing programs and the </w:t>
            </w:r>
            <w:r>
              <w:rPr>
                <w:rFonts w:ascii="Roboto" w:hAnsi="Roboto" w:cs="Times New Roman"/>
                <w:color w:val="auto"/>
                <w:sz w:val="20"/>
                <w:szCs w:val="20"/>
              </w:rPr>
              <w:t>first-year area of study sequences</w:t>
            </w:r>
            <w:r w:rsidRPr="003A5832">
              <w:rPr>
                <w:rFonts w:ascii="Roboto" w:hAnsi="Roboto" w:cs="Times New Roman"/>
                <w:color w:val="auto"/>
                <w:sz w:val="20"/>
                <w:szCs w:val="20"/>
              </w:rPr>
              <w:t>.</w:t>
            </w:r>
            <w:r>
              <w:rPr>
                <w:rFonts w:ascii="Roboto" w:hAnsi="Roboto" w:cs="Times New Roman"/>
                <w:color w:val="auto"/>
                <w:sz w:val="20"/>
                <w:szCs w:val="20"/>
              </w:rPr>
              <w:t xml:space="preserve"> “Program maps” will need to be developed showing the linkages between the program and the first-year pathway.</w:t>
            </w:r>
            <w:r w:rsidRPr="003A5832">
              <w:rPr>
                <w:rFonts w:ascii="Roboto" w:hAnsi="Roboto" w:cs="Times New Roman"/>
                <w:color w:val="auto"/>
                <w:sz w:val="20"/>
                <w:szCs w:val="20"/>
              </w:rPr>
              <w:t xml:space="preserve"> </w:t>
            </w:r>
            <w:r>
              <w:rPr>
                <w:rFonts w:ascii="Roboto" w:hAnsi="Roboto" w:cs="Times New Roman"/>
                <w:color w:val="auto"/>
                <w:sz w:val="20"/>
                <w:szCs w:val="20"/>
              </w:rPr>
              <w:t xml:space="preserve">Under an ideal design, students would enter the specific program through the first-year pathway introductory material. </w:t>
            </w:r>
          </w:p>
          <w:p w14:paraId="66CBA7DB" w14:textId="77777777" w:rsidR="00367936" w:rsidRDefault="00367936" w:rsidP="00C87835">
            <w:pPr>
              <w:rPr>
                <w:rFonts w:ascii="Roboto" w:hAnsi="Roboto"/>
                <w:sz w:val="20"/>
                <w:szCs w:val="20"/>
              </w:rPr>
            </w:pPr>
          </w:p>
        </w:tc>
        <w:tc>
          <w:tcPr>
            <w:tcW w:w="3955" w:type="dxa"/>
          </w:tcPr>
          <w:p w14:paraId="2DF36276" w14:textId="77777777" w:rsidR="00367936" w:rsidRPr="0057240D" w:rsidRDefault="00367936" w:rsidP="00C87835">
            <w:pPr>
              <w:pStyle w:val="Default"/>
              <w:spacing w:before="200"/>
              <w:rPr>
                <w:rFonts w:ascii="Roboto" w:hAnsi="Roboto" w:cs="Times New Roman"/>
                <w:i/>
                <w:iCs/>
                <w:color w:val="auto"/>
                <w:sz w:val="20"/>
                <w:szCs w:val="20"/>
              </w:rPr>
            </w:pPr>
            <w:r>
              <w:rPr>
                <w:rFonts w:ascii="Roboto" w:hAnsi="Roboto" w:cs="Times New Roman"/>
                <w:i/>
                <w:iCs/>
                <w:color w:val="auto"/>
                <w:sz w:val="20"/>
                <w:szCs w:val="20"/>
              </w:rPr>
              <w:t xml:space="preserve">In Progress. Program evaluation and elimination is underway. </w:t>
            </w:r>
          </w:p>
          <w:p w14:paraId="6D1523E7" w14:textId="77777777" w:rsidR="00367936" w:rsidRDefault="00367936" w:rsidP="00C87835">
            <w:pPr>
              <w:rPr>
                <w:rFonts w:ascii="Roboto" w:hAnsi="Roboto"/>
                <w:sz w:val="20"/>
                <w:szCs w:val="20"/>
              </w:rPr>
            </w:pPr>
          </w:p>
        </w:tc>
      </w:tr>
      <w:tr w:rsidR="00367936" w14:paraId="01AD2D23" w14:textId="77777777" w:rsidTr="00C87835">
        <w:tc>
          <w:tcPr>
            <w:tcW w:w="5395" w:type="dxa"/>
          </w:tcPr>
          <w:p w14:paraId="687E0C63" w14:textId="77777777" w:rsidR="00367936" w:rsidRPr="0057240D" w:rsidRDefault="00367936" w:rsidP="00C87835">
            <w:pPr>
              <w:pStyle w:val="Default"/>
              <w:spacing w:before="200"/>
              <w:rPr>
                <w:rFonts w:ascii="Roboto" w:hAnsi="Roboto" w:cs="Times New Roman"/>
                <w:color w:val="auto"/>
                <w:sz w:val="20"/>
                <w:szCs w:val="20"/>
              </w:rPr>
            </w:pPr>
            <w:r w:rsidRPr="0011150A">
              <w:rPr>
                <w:rFonts w:ascii="Roboto" w:hAnsi="Roboto" w:cs="Times New Roman"/>
                <w:sz w:val="20"/>
                <w:szCs w:val="20"/>
              </w:rPr>
              <w:t xml:space="preserve">The success of pathways depends upon improvement of program-level articulation. We are working to advance program-level, USHE-wide articulation. Faculty and administration from other USHE institutions will be involved in program development. State-level policy </w:t>
            </w:r>
            <w:r w:rsidRPr="0011150A">
              <w:rPr>
                <w:rFonts w:ascii="Roboto" w:hAnsi="Roboto" w:cs="Times New Roman"/>
                <w:sz w:val="20"/>
                <w:szCs w:val="20"/>
              </w:rPr>
              <w:lastRenderedPageBreak/>
              <w:t>specifying the requirements for junior status upon transfer may need to be explored.</w:t>
            </w:r>
          </w:p>
          <w:p w14:paraId="46AE141F" w14:textId="77777777" w:rsidR="00367936" w:rsidRDefault="00367936" w:rsidP="00C87835">
            <w:pPr>
              <w:rPr>
                <w:rFonts w:ascii="Roboto" w:hAnsi="Roboto"/>
                <w:sz w:val="20"/>
                <w:szCs w:val="20"/>
              </w:rPr>
            </w:pPr>
          </w:p>
        </w:tc>
        <w:tc>
          <w:tcPr>
            <w:tcW w:w="3955" w:type="dxa"/>
          </w:tcPr>
          <w:p w14:paraId="1F46C128" w14:textId="77777777" w:rsidR="00367936" w:rsidRPr="0057240D" w:rsidRDefault="00367936" w:rsidP="00C87835">
            <w:pPr>
              <w:pStyle w:val="Default"/>
              <w:spacing w:before="200"/>
              <w:rPr>
                <w:rFonts w:ascii="Roboto" w:hAnsi="Roboto" w:cs="Times New Roman"/>
                <w:i/>
                <w:iCs/>
                <w:color w:val="auto"/>
                <w:sz w:val="20"/>
                <w:szCs w:val="20"/>
              </w:rPr>
            </w:pPr>
            <w:r>
              <w:rPr>
                <w:rFonts w:ascii="Roboto" w:hAnsi="Roboto" w:cs="Times New Roman"/>
                <w:i/>
                <w:iCs/>
                <w:sz w:val="20"/>
                <w:szCs w:val="20"/>
              </w:rPr>
              <w:lastRenderedPageBreak/>
              <w:t xml:space="preserve">In Progress. Have successfully worked to create a state-level body that can have authority of articulation at the system level. Working with this group to develop better linkages and using policies to </w:t>
            </w:r>
            <w:r>
              <w:rPr>
                <w:rFonts w:ascii="Roboto" w:hAnsi="Roboto" w:cs="Times New Roman"/>
                <w:i/>
                <w:iCs/>
                <w:sz w:val="20"/>
                <w:szCs w:val="20"/>
              </w:rPr>
              <w:lastRenderedPageBreak/>
              <w:t xml:space="preserve">improve the movement of degrees and awards with full credit across the system. </w:t>
            </w:r>
          </w:p>
          <w:p w14:paraId="786CD17A" w14:textId="77777777" w:rsidR="00367936" w:rsidRDefault="00367936" w:rsidP="00C87835">
            <w:pPr>
              <w:rPr>
                <w:rFonts w:ascii="Roboto" w:hAnsi="Roboto"/>
                <w:sz w:val="20"/>
                <w:szCs w:val="20"/>
              </w:rPr>
            </w:pPr>
          </w:p>
        </w:tc>
      </w:tr>
    </w:tbl>
    <w:p w14:paraId="6BA935E9" w14:textId="77777777" w:rsidR="00367936" w:rsidRPr="0087258B" w:rsidRDefault="00367936" w:rsidP="00367936">
      <w:pPr>
        <w:rPr>
          <w:rFonts w:ascii="Roboto" w:hAnsi="Roboto"/>
          <w:sz w:val="20"/>
          <w:szCs w:val="20"/>
        </w:rPr>
      </w:pPr>
    </w:p>
    <w:p w14:paraId="53A5C380" w14:textId="77777777" w:rsidR="00927D9C" w:rsidRPr="00823AA9" w:rsidRDefault="00927D9C" w:rsidP="00927D9C">
      <w:pPr>
        <w:rPr>
          <w:rFonts w:ascii="Helvetica" w:hAnsi="Helvetica"/>
          <w:sz w:val="22"/>
          <w:szCs w:val="22"/>
        </w:rPr>
      </w:pPr>
      <w:r w:rsidRPr="00823AA9">
        <w:rPr>
          <w:rFonts w:ascii="Helvetica" w:hAnsi="Helvetica"/>
          <w:color w:val="000000"/>
          <w:sz w:val="22"/>
          <w:szCs w:val="22"/>
          <w:shd w:val="clear" w:color="auto" w:fill="FFFFFF"/>
        </w:rPr>
        <w:t>As a multiyear college redesign effort, SLCC Pathways will be realized through incremental achievements every academic year through 2023. Review and assessment of the ongoing work will require modifications as we continue to monitor the effectiveness of our work. New elements of the total SLCC Pathways initiative will be added until it is fully implemented.</w:t>
      </w:r>
    </w:p>
    <w:p w14:paraId="1949F4C5" w14:textId="77777777" w:rsidR="00927D9C" w:rsidRDefault="00927D9C" w:rsidP="00927D9C">
      <w:pPr>
        <w:rPr>
          <w:rFonts w:ascii="Helvetica" w:hAnsi="Helvetica" w:cs="Calibri"/>
          <w:color w:val="333333"/>
          <w:sz w:val="22"/>
          <w:szCs w:val="22"/>
        </w:rPr>
      </w:pPr>
    </w:p>
    <w:p w14:paraId="453FF94A" w14:textId="77777777" w:rsidR="00927D9C" w:rsidRPr="00317361" w:rsidRDefault="00927D9C" w:rsidP="00927D9C">
      <w:pPr>
        <w:rPr>
          <w:rFonts w:ascii="Helvetica" w:hAnsi="Helvetica" w:cs="Calibri"/>
          <w:b/>
          <w:bCs/>
          <w:color w:val="333333"/>
          <w:sz w:val="22"/>
          <w:szCs w:val="22"/>
        </w:rPr>
      </w:pPr>
      <w:r w:rsidRPr="00317361">
        <w:rPr>
          <w:rFonts w:ascii="Helvetica" w:hAnsi="Helvetica" w:cs="Calibri"/>
          <w:b/>
          <w:bCs/>
          <w:color w:val="333333"/>
          <w:sz w:val="22"/>
          <w:szCs w:val="22"/>
        </w:rPr>
        <w:t xml:space="preserve">Further Updates and Highlights </w:t>
      </w:r>
    </w:p>
    <w:p w14:paraId="424B6FEA" w14:textId="77777777" w:rsidR="00927D9C" w:rsidRPr="00823AA9" w:rsidRDefault="00927D9C" w:rsidP="00927D9C">
      <w:pPr>
        <w:rPr>
          <w:rFonts w:ascii="Helvetica" w:hAnsi="Helvetica" w:cs="Calibri"/>
          <w:color w:val="333333"/>
          <w:sz w:val="22"/>
          <w:szCs w:val="22"/>
        </w:rPr>
      </w:pPr>
    </w:p>
    <w:p w14:paraId="3F5A94B2" w14:textId="77777777" w:rsidR="006527FF" w:rsidRPr="00823AA9" w:rsidRDefault="00927D9C" w:rsidP="006527FF">
      <w:pPr>
        <w:rPr>
          <w:rFonts w:ascii="Helvetica" w:hAnsi="Helvetica" w:cs="Calibri"/>
          <w:sz w:val="22"/>
          <w:szCs w:val="22"/>
        </w:rPr>
      </w:pPr>
      <w:r w:rsidRPr="00823AA9">
        <w:rPr>
          <w:rFonts w:ascii="Helvetica" w:hAnsi="Helvetica" w:cs="Calibri"/>
          <w:sz w:val="22"/>
          <w:szCs w:val="22"/>
        </w:rPr>
        <w:t xml:space="preserve">Further updates on the Pathways Initiative can be found here:  </w:t>
      </w:r>
      <w:hyperlink r:id="rId9" w:history="1">
        <w:r w:rsidRPr="00823AA9">
          <w:rPr>
            <w:rStyle w:val="Hyperlink"/>
            <w:rFonts w:ascii="Helvetica" w:hAnsi="Helvetica"/>
            <w:sz w:val="22"/>
            <w:szCs w:val="22"/>
          </w:rPr>
          <w:t>https://i.slcc.edu/plan/pathways.aspx</w:t>
        </w:r>
      </w:hyperlink>
      <w:r w:rsidR="006527FF">
        <w:rPr>
          <w:rStyle w:val="Hyperlink"/>
          <w:rFonts w:ascii="Helvetica" w:hAnsi="Helvetica"/>
          <w:sz w:val="22"/>
          <w:szCs w:val="22"/>
        </w:rPr>
        <w:br/>
      </w:r>
      <w:hyperlink r:id="rId10" w:history="1">
        <w:r w:rsidR="006527FF" w:rsidRPr="00823AA9">
          <w:rPr>
            <w:rStyle w:val="Hyperlink"/>
            <w:rFonts w:ascii="Helvetica" w:hAnsi="Helvetica" w:cs="Calibri"/>
            <w:sz w:val="22"/>
            <w:szCs w:val="22"/>
          </w:rPr>
          <w:t>SLCC.edu/academics</w:t>
        </w:r>
      </w:hyperlink>
    </w:p>
    <w:p w14:paraId="63112A4A" w14:textId="110759CB" w:rsidR="00927D9C" w:rsidRPr="00823AA9" w:rsidRDefault="00927D9C" w:rsidP="00927D9C">
      <w:pPr>
        <w:rPr>
          <w:rStyle w:val="Hyperlink"/>
          <w:rFonts w:ascii="Helvetica" w:hAnsi="Helvetica"/>
          <w:sz w:val="22"/>
          <w:szCs w:val="22"/>
        </w:rPr>
      </w:pPr>
    </w:p>
    <w:p w14:paraId="24904143" w14:textId="77777777" w:rsidR="00927D9C" w:rsidRPr="00823AA9" w:rsidRDefault="00927D9C" w:rsidP="00927D9C">
      <w:pPr>
        <w:rPr>
          <w:rStyle w:val="Hyperlink"/>
          <w:rFonts w:ascii="Helvetica" w:hAnsi="Helvetica"/>
          <w:sz w:val="22"/>
          <w:szCs w:val="22"/>
        </w:rPr>
      </w:pPr>
    </w:p>
    <w:p w14:paraId="41C36E8B" w14:textId="77777777" w:rsidR="00927D9C" w:rsidRDefault="00927D9C" w:rsidP="00927D9C"/>
    <w:p w14:paraId="2C691BC5" w14:textId="77777777" w:rsidR="00927D9C" w:rsidRDefault="00927D9C" w:rsidP="00927D9C"/>
    <w:sectPr w:rsidR="00927D9C" w:rsidSect="00D35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8425" w14:textId="77777777" w:rsidR="0073703A" w:rsidRDefault="0073703A" w:rsidP="00367936">
      <w:r>
        <w:separator/>
      </w:r>
    </w:p>
  </w:endnote>
  <w:endnote w:type="continuationSeparator" w:id="0">
    <w:p w14:paraId="3D10B800" w14:textId="77777777" w:rsidR="0073703A" w:rsidRDefault="0073703A" w:rsidP="0036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D96E" w14:textId="77777777" w:rsidR="0073703A" w:rsidRDefault="0073703A" w:rsidP="00367936">
      <w:r>
        <w:separator/>
      </w:r>
    </w:p>
  </w:footnote>
  <w:footnote w:type="continuationSeparator" w:id="0">
    <w:p w14:paraId="4C9F456B" w14:textId="77777777" w:rsidR="0073703A" w:rsidRDefault="0073703A" w:rsidP="00367936">
      <w:r>
        <w:continuationSeparator/>
      </w:r>
    </w:p>
  </w:footnote>
  <w:footnote w:id="1">
    <w:p w14:paraId="55860D34" w14:textId="77777777" w:rsidR="00367936" w:rsidRPr="003D1070" w:rsidRDefault="00367936" w:rsidP="00367936">
      <w:pPr>
        <w:pStyle w:val="FootnoteText"/>
        <w:spacing w:after="60"/>
      </w:pPr>
      <w:r>
        <w:rPr>
          <w:rStyle w:val="FootnoteReference"/>
        </w:rPr>
        <w:footnoteRef/>
      </w:r>
      <w:r>
        <w:t xml:space="preserve"> See Karp</w:t>
      </w:r>
      <w:r w:rsidRPr="00EF7C14">
        <w:t xml:space="preserve">, Melinda </w:t>
      </w:r>
      <w:proofErr w:type="spellStart"/>
      <w:r w:rsidRPr="00EF7C14">
        <w:t>Mchur</w:t>
      </w:r>
      <w:proofErr w:type="spellEnd"/>
      <w:r w:rsidRPr="00EF7C14">
        <w:t xml:space="preserve">. "Entering a Program: Helping Students Make Academic and Career Decisions." Community College </w:t>
      </w:r>
      <w:r>
        <w:t>Research Center Working Paper No</w:t>
      </w:r>
      <w:r w:rsidRPr="00EF7C14">
        <w:t xml:space="preserve">. 59, May 2013, </w:t>
      </w:r>
      <w:r>
        <w:t>pg.</w:t>
      </w:r>
      <w:r w:rsidRPr="00EF7C14">
        <w:t>6</w:t>
      </w:r>
      <w:r>
        <w:t xml:space="preserve">: “In essence, developmental theories implicitly support a ‘pedagogy’ of counseling and advising—a set of activities and orientations that lead to </w:t>
      </w:r>
      <w:r>
        <w:rPr>
          <w:i/>
        </w:rPr>
        <w:t>teaching</w:t>
      </w:r>
      <w:r>
        <w:t xml:space="preserve"> students how to develop self-awareness, identify options, weigh information, set goals, and make realistic plans.”</w:t>
      </w:r>
    </w:p>
  </w:footnote>
  <w:footnote w:id="2">
    <w:p w14:paraId="12B5617B" w14:textId="77777777" w:rsidR="00367936" w:rsidRPr="0062328F" w:rsidRDefault="00367936" w:rsidP="00367936">
      <w:pPr>
        <w:pStyle w:val="FootnoteText"/>
        <w:rPr>
          <w:i/>
        </w:rPr>
      </w:pPr>
      <w:r>
        <w:rPr>
          <w:rStyle w:val="FootnoteReference"/>
        </w:rPr>
        <w:footnoteRef/>
      </w:r>
      <w:r>
        <w:t xml:space="preserve"> For more information on this see </w:t>
      </w:r>
      <w:r>
        <w:rPr>
          <w:i/>
        </w:rPr>
        <w:t>How Learning Works</w:t>
      </w:r>
      <w:r>
        <w:t xml:space="preserve"> by Dr. Susan Ambrose (and colleagues) and </w:t>
      </w:r>
      <w:r>
        <w:rPr>
          <w:i/>
        </w:rPr>
        <w:t xml:space="preserve">Learner-Centered Teaching </w:t>
      </w:r>
      <w:r w:rsidRPr="006459DC">
        <w:t>by Dr. Maryellen Weimer.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739"/>
    <w:multiLevelType w:val="hybridMultilevel"/>
    <w:tmpl w:val="42D68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E85300"/>
    <w:multiLevelType w:val="multilevel"/>
    <w:tmpl w:val="D6783E8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50B5685C"/>
    <w:multiLevelType w:val="hybridMultilevel"/>
    <w:tmpl w:val="BBA436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70118"/>
    <w:multiLevelType w:val="multilevel"/>
    <w:tmpl w:val="44F28A3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hideSpellingErrors/>
  <w:hideGrammaticalError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A7"/>
    <w:rsid w:val="00065BAC"/>
    <w:rsid w:val="000D06CC"/>
    <w:rsid w:val="000E4837"/>
    <w:rsid w:val="000F4196"/>
    <w:rsid w:val="001530A7"/>
    <w:rsid w:val="001E4C52"/>
    <w:rsid w:val="00220453"/>
    <w:rsid w:val="00246DE0"/>
    <w:rsid w:val="00317361"/>
    <w:rsid w:val="00367936"/>
    <w:rsid w:val="00491824"/>
    <w:rsid w:val="004F6AA2"/>
    <w:rsid w:val="005350DF"/>
    <w:rsid w:val="00580A1C"/>
    <w:rsid w:val="005B3C0C"/>
    <w:rsid w:val="006527FF"/>
    <w:rsid w:val="006F2E00"/>
    <w:rsid w:val="0073703A"/>
    <w:rsid w:val="007B1195"/>
    <w:rsid w:val="00831F4F"/>
    <w:rsid w:val="008E66DE"/>
    <w:rsid w:val="00927D9C"/>
    <w:rsid w:val="009527EF"/>
    <w:rsid w:val="00971B2D"/>
    <w:rsid w:val="00B2216A"/>
    <w:rsid w:val="00B605F1"/>
    <w:rsid w:val="00CC1710"/>
    <w:rsid w:val="00D352A3"/>
    <w:rsid w:val="00E06828"/>
    <w:rsid w:val="00E2050F"/>
    <w:rsid w:val="00F9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34311"/>
  <w15:chartTrackingRefBased/>
  <w15:docId w15:val="{01FAFD8A-B4A7-BA4D-815C-8B217B78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A7"/>
    <w:pPr>
      <w:ind w:left="720"/>
      <w:contextualSpacing/>
    </w:pPr>
  </w:style>
  <w:style w:type="character" w:styleId="Hyperlink">
    <w:name w:val="Hyperlink"/>
    <w:basedOn w:val="DefaultParagraphFont"/>
    <w:uiPriority w:val="99"/>
    <w:unhideWhenUsed/>
    <w:rsid w:val="001530A7"/>
    <w:rPr>
      <w:color w:val="0563C1" w:themeColor="hyperlink"/>
      <w:u w:val="single"/>
    </w:rPr>
  </w:style>
  <w:style w:type="character" w:styleId="CommentReference">
    <w:name w:val="annotation reference"/>
    <w:basedOn w:val="DefaultParagraphFont"/>
    <w:uiPriority w:val="99"/>
    <w:semiHidden/>
    <w:unhideWhenUsed/>
    <w:rsid w:val="001530A7"/>
    <w:rPr>
      <w:sz w:val="16"/>
      <w:szCs w:val="16"/>
    </w:rPr>
  </w:style>
  <w:style w:type="paragraph" w:styleId="CommentText">
    <w:name w:val="annotation text"/>
    <w:basedOn w:val="Normal"/>
    <w:link w:val="CommentTextChar"/>
    <w:uiPriority w:val="99"/>
    <w:semiHidden/>
    <w:unhideWhenUsed/>
    <w:rsid w:val="001530A7"/>
    <w:rPr>
      <w:sz w:val="20"/>
      <w:szCs w:val="20"/>
    </w:rPr>
  </w:style>
  <w:style w:type="character" w:customStyle="1" w:styleId="CommentTextChar">
    <w:name w:val="Comment Text Char"/>
    <w:basedOn w:val="DefaultParagraphFont"/>
    <w:link w:val="CommentText"/>
    <w:uiPriority w:val="99"/>
    <w:semiHidden/>
    <w:rsid w:val="001530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30A7"/>
    <w:rPr>
      <w:sz w:val="18"/>
      <w:szCs w:val="18"/>
    </w:rPr>
  </w:style>
  <w:style w:type="character" w:customStyle="1" w:styleId="BalloonTextChar">
    <w:name w:val="Balloon Text Char"/>
    <w:basedOn w:val="DefaultParagraphFont"/>
    <w:link w:val="BalloonText"/>
    <w:uiPriority w:val="99"/>
    <w:semiHidden/>
    <w:rsid w:val="001530A7"/>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96E0E"/>
    <w:rPr>
      <w:b/>
      <w:bCs/>
    </w:rPr>
  </w:style>
  <w:style w:type="character" w:customStyle="1" w:styleId="CommentSubjectChar">
    <w:name w:val="Comment Subject Char"/>
    <w:basedOn w:val="CommentTextChar"/>
    <w:link w:val="CommentSubject"/>
    <w:uiPriority w:val="99"/>
    <w:semiHidden/>
    <w:rsid w:val="00F96E0E"/>
    <w:rPr>
      <w:rFonts w:ascii="Times New Roman" w:eastAsia="Times New Roman" w:hAnsi="Times New Roman" w:cs="Times New Roman"/>
      <w:b/>
      <w:bCs/>
      <w:sz w:val="20"/>
      <w:szCs w:val="20"/>
    </w:rPr>
  </w:style>
  <w:style w:type="paragraph" w:styleId="NormalWeb">
    <w:name w:val="Normal (Web)"/>
    <w:basedOn w:val="Normal"/>
    <w:uiPriority w:val="99"/>
    <w:unhideWhenUsed/>
    <w:rsid w:val="00367936"/>
    <w:pPr>
      <w:spacing w:before="100" w:beforeAutospacing="1" w:after="100" w:afterAutospacing="1"/>
    </w:pPr>
  </w:style>
  <w:style w:type="paragraph" w:styleId="FootnoteText">
    <w:name w:val="footnote text"/>
    <w:basedOn w:val="Normal"/>
    <w:link w:val="FootnoteTextChar"/>
    <w:uiPriority w:val="99"/>
    <w:semiHidden/>
    <w:unhideWhenUsed/>
    <w:rsid w:val="003679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67936"/>
    <w:rPr>
      <w:sz w:val="20"/>
      <w:szCs w:val="20"/>
    </w:rPr>
  </w:style>
  <w:style w:type="character" w:styleId="FootnoteReference">
    <w:name w:val="footnote reference"/>
    <w:basedOn w:val="DefaultParagraphFont"/>
    <w:uiPriority w:val="99"/>
    <w:semiHidden/>
    <w:unhideWhenUsed/>
    <w:rsid w:val="00367936"/>
    <w:rPr>
      <w:vertAlign w:val="superscript"/>
    </w:rPr>
  </w:style>
  <w:style w:type="paragraph" w:customStyle="1" w:styleId="Default">
    <w:name w:val="Default"/>
    <w:rsid w:val="00367936"/>
    <w:pPr>
      <w:autoSpaceDE w:val="0"/>
      <w:autoSpaceDN w:val="0"/>
      <w:adjustRightInd w:val="0"/>
    </w:pPr>
    <w:rPr>
      <w:rFonts w:ascii="Calibri" w:hAnsi="Calibri" w:cs="Calibri"/>
      <w:color w:val="000000"/>
    </w:rPr>
  </w:style>
  <w:style w:type="table" w:styleId="TableGrid">
    <w:name w:val="Table Grid"/>
    <w:basedOn w:val="TableNormal"/>
    <w:uiPriority w:val="39"/>
    <w:rsid w:val="003679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cc.edu/plan/docs/pathways-phase-ii-sub-committee-report.pdf" TargetMode="External"/><Relationship Id="rId3" Type="http://schemas.openxmlformats.org/officeDocument/2006/relationships/settings" Target="settings.xml"/><Relationship Id="rId7" Type="http://schemas.openxmlformats.org/officeDocument/2006/relationships/hyperlink" Target="https://i.slcc.edu/plan/pathway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lcc.edu/academics/" TargetMode="External"/><Relationship Id="rId4" Type="http://schemas.openxmlformats.org/officeDocument/2006/relationships/webSettings" Target="webSettings.xml"/><Relationship Id="rId9" Type="http://schemas.openxmlformats.org/officeDocument/2006/relationships/hyperlink" Target="https://i.slcc.edu/plan/pathwa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Stringham</dc:creator>
  <cp:keywords/>
  <dc:description/>
  <cp:lastModifiedBy>Jane Stringham</cp:lastModifiedBy>
  <cp:revision>3</cp:revision>
  <cp:lastPrinted>2020-02-24T16:22:00Z</cp:lastPrinted>
  <dcterms:created xsi:type="dcterms:W3CDTF">2020-02-24T17:45:00Z</dcterms:created>
  <dcterms:modified xsi:type="dcterms:W3CDTF">2020-02-24T17:50:00Z</dcterms:modified>
</cp:coreProperties>
</file>